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1A8D">
      <w:pPr>
        <w:pStyle w:val="2"/>
        <w:bidi w:val="0"/>
        <w:rPr>
          <w:rFonts w:hint="eastAsia"/>
        </w:rPr>
      </w:pPr>
      <w:r>
        <w:rPr>
          <w:rFonts w:hint="eastAsia"/>
        </w:rPr>
        <w:t>驻马店博物馆建筑形体规则性判定报告</w:t>
      </w:r>
    </w:p>
    <w:p w14:paraId="45F0B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一、项目概况</w:t>
      </w:r>
    </w:p>
    <w:p w14:paraId="7B872C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项目名称：浮光方序Ⅰ——基于消解与穿行的豫南绿色现代博物馆</w:t>
      </w:r>
    </w:p>
    <w:p w14:paraId="5DD0FB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建筑性质：公共建筑（博物馆）</w:t>
      </w:r>
    </w:p>
    <w:p w14:paraId="453497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结构形式：钢筋混凝土框架结构</w:t>
      </w:r>
    </w:p>
    <w:p w14:paraId="1EFE0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抗震设防烈度：7度（0.15g），设计地震分组第一组，场地类别Ⅱ类</w:t>
      </w:r>
    </w:p>
    <w:p w14:paraId="02153C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建筑层数：3层，建筑高度15.9m</w:t>
      </w:r>
    </w:p>
    <w:p w14:paraId="52FD57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设计理念：以“消解与穿行”为核心，采用模块化方体组合，通过体块错动、穿插形成立体层次，兼顾现代美学与绿色建筑性能。</w:t>
      </w:r>
    </w:p>
    <w:p w14:paraId="7A976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二、判定依据</w:t>
      </w:r>
    </w:p>
    <w:p w14:paraId="016B7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《建筑抗震设计规范》（GB 50011-2010，2016年版）第3.4节“建筑形体及其构件布置的规则性”</w:t>
      </w:r>
    </w:p>
    <w:p w14:paraId="13594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《混凝土结构设计规范》（GB 50010-2010，2015年版）</w:t>
      </w:r>
    </w:p>
    <w:p w14:paraId="2354BF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项目总平面图、立面图、剖面图及建筑形体设计图纸</w:t>
      </w:r>
    </w:p>
    <w:p w14:paraId="0FAA2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三、建筑形体规则性分析</w:t>
      </w:r>
    </w:p>
    <w:p w14:paraId="39BF7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（一）平面规则性判定</w:t>
      </w:r>
    </w:p>
    <w:p w14:paraId="433858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平面布置：建筑主体采用矩形模块化组合，平面轮廓以矩形为主，局部体块错动但未超出主体范围，平面长宽比约1.8:1，符合规范“长宽比不宜大于3:1”要求。</w:t>
      </w:r>
    </w:p>
    <w:p w14:paraId="74DE19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平面凹凸：各楼层平面凹凸尺寸不大于对应边长的25%，无过大凹口、狭长内廊及不规则转角，平面刚度分布均匀。</w:t>
      </w:r>
    </w:p>
    <w:p w14:paraId="4CFCF9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质量与刚度分布：平面内柱网规整，质量中心与刚度中心偏差小于15%，无明显偏心，避免扭转效应。</w:t>
      </w:r>
    </w:p>
    <w:p w14:paraId="36E4F3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判定结论：平面规则，满足抗震规范平面规则性要求。</w:t>
      </w:r>
    </w:p>
    <w:p w14:paraId="60E0C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（二）竖向规则性判定</w:t>
      </w:r>
    </w:p>
    <w:p w14:paraId="6F976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竖向收进与挑出：建筑竖向采用逐层错动设计，收进尺寸不大于下层尺寸的20%，无突然收进或悬挑过大部位，竖向体型连续、无突变。</w:t>
      </w:r>
    </w:p>
    <w:p w14:paraId="5B2288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楼层刚度：各楼层刚度变化均匀，相邻楼层刚度比大于0.7，本层与相邻上层平均刚度比大于0.8，无薄弱层。</w:t>
      </w:r>
    </w:p>
    <w:p w14:paraId="52A3EC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A5F7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竖向构件布置：框架柱竖向连续、无错位，柱网间距均匀，构件截面尺寸随层数合理减小，无竖向构件不连续现象。</w:t>
      </w:r>
    </w:p>
    <w:p w14:paraId="2356A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判定结论：竖向规则，满足抗震规范竖向规则性要求。</w:t>
      </w:r>
    </w:p>
    <w:p w14:paraId="69723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（三）扭转规则性判定</w:t>
      </w:r>
    </w:p>
    <w:p w14:paraId="7BEBE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扭转位移比：在规定水平力作用下，楼层最大弹性水平位移与该楼层两端弹性水平位移平均值的比值小于1.2，无明显扭转不规则。</w:t>
      </w:r>
    </w:p>
    <w:p w14:paraId="3261D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偏心距：质量中心与刚度中心偏心距小于该方向边长的5%，扭转效应可控。</w:t>
      </w:r>
    </w:p>
    <w:p w14:paraId="44021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判定结论：扭转规则，无扭转不规则问题。</w:t>
      </w:r>
    </w:p>
    <w:p w14:paraId="12FCD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（四）局部不规则性核查</w:t>
      </w:r>
    </w:p>
    <w:p w14:paraId="0E195C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局部突出：屋面局部设备用房、楼梯间突出高度小于主体高度的20%，面积小于主体面积的30%，不属于局部不规则。</w:t>
      </w:r>
    </w:p>
    <w:p w14:paraId="6AA31B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错层与夹层：建筑无错层、夹层及连体结构，楼层标高统一，无局部刚度突变。</w:t>
      </w:r>
    </w:p>
    <w:p w14:paraId="7EBAA9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判定结论：无局部不规则，形体整体规则。</w:t>
      </w:r>
    </w:p>
    <w:p w14:paraId="7AF6E2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四、综合判定结论</w:t>
      </w:r>
    </w:p>
    <w:p w14:paraId="11AEE2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本项目建筑形体在平面布置、竖向体型、扭转效应、局部构造等方面均满足《建筑抗震设计规范》规则性要求，无平面不规则、竖向不规则、扭转不规则及局部不规则问题。</w:t>
      </w:r>
    </w:p>
    <w:p w14:paraId="508F0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模块化方体组合、体块错动设计未破坏结构规则性，质量与刚度分布均匀，竖向构件连续，扭转效应可控，符合7度抗震设防区公共建筑形体规则性标准。</w:t>
      </w:r>
    </w:p>
    <w:p w14:paraId="583AA1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建筑形体规则性良好，为结构抗震设计、隔震与消能减震系统布置提供良好基础，保障结构安全与长期使用性能。</w:t>
      </w:r>
    </w:p>
    <w:p w14:paraId="157858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五、建议</w:t>
      </w:r>
    </w:p>
    <w:p w14:paraId="09A416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严格按规则性要求控制施工偏差，确保竖向构件垂直度、平面尺寸精度。</w:t>
      </w:r>
    </w:p>
    <w:p w14:paraId="2F74F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加强薄弱部位（体块错动节点、收进部位）构造措施，提高抗震性能。</w:t>
      </w:r>
    </w:p>
    <w:p w14:paraId="5AD8E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定期监测结构沉降、位移，保障形体规则性长期稳定。</w:t>
      </w:r>
    </w:p>
    <w:p w14:paraId="69E00E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E812845">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7CD3E5B"/>
    <w:rsid w:val="0AFE2A19"/>
    <w:rsid w:val="0CF90255"/>
    <w:rsid w:val="123C58FA"/>
    <w:rsid w:val="1BAE077A"/>
    <w:rsid w:val="1C3C12E2"/>
    <w:rsid w:val="22233C11"/>
    <w:rsid w:val="244F54A0"/>
    <w:rsid w:val="2E454CF5"/>
    <w:rsid w:val="331D2CEA"/>
    <w:rsid w:val="33633703"/>
    <w:rsid w:val="33C75702"/>
    <w:rsid w:val="35301450"/>
    <w:rsid w:val="35611C20"/>
    <w:rsid w:val="36CF5679"/>
    <w:rsid w:val="3D677DCC"/>
    <w:rsid w:val="3E374C21"/>
    <w:rsid w:val="3E9207B3"/>
    <w:rsid w:val="403F4FF6"/>
    <w:rsid w:val="421922FE"/>
    <w:rsid w:val="43AD2714"/>
    <w:rsid w:val="43E022A5"/>
    <w:rsid w:val="47AA6C20"/>
    <w:rsid w:val="48D12D87"/>
    <w:rsid w:val="4F855D03"/>
    <w:rsid w:val="50C84447"/>
    <w:rsid w:val="598B6E78"/>
    <w:rsid w:val="5D2850E5"/>
    <w:rsid w:val="63EE7082"/>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1454</Words>
  <Characters>1587</Characters>
  <Lines>0</Lines>
  <Paragraphs>0</Paragraphs>
  <TotalTime>27</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2026-03-20T15:39:36Z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37E512E73C4D4F83A2C9BAC10B02F383_13</vt:lpwstr>
  </property>
  <property fmtid="{D5CDD505-2E9C-101B-9397-08002B2CF9AE}" pid="4" name="KSOTemplateDocerSaveRecord">
    <vt:lpwstr>eyJoZGlkIjoiZTJkMjVjODc0OTA1NTg1ZTc3MDNhMGY3YjU1MmY0YWMiLCJ1c2VySWQiOiIxMjM5NDcyOTUxIn0=</vt:lpwstr>
  </property>
</Properties>
</file>