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建筑工程质量潜在缺陷保险产品保单</w:t>
      </w:r>
    </w:p>
    <w:p>
      <w:pPr>
        <w:rPr>
          <w:rFonts w:hint="eastAsia"/>
        </w:rPr>
      </w:pPr>
      <w:r>
        <w:rPr>
          <w:rFonts w:hint="eastAsia"/>
        </w:rPr>
        <w:t>保单编号：BKA80273-INS-2026</w:t>
      </w:r>
    </w:p>
    <w:p>
      <w:pPr>
        <w:rPr>
          <w:rFonts w:hint="eastAsia"/>
        </w:rPr>
      </w:pPr>
      <w:r>
        <w:rPr>
          <w:rFonts w:hint="eastAsia"/>
        </w:rPr>
        <w:t>保险工程名称：浮光方序博物馆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工程地址：</w:t>
      </w:r>
      <w:r>
        <w:rPr>
          <w:rFonts w:hint="eastAsia"/>
          <w:lang w:val="en-US" w:eastAsia="zh-CN"/>
        </w:rPr>
        <w:t>河南省驻马店</w:t>
      </w:r>
    </w:p>
    <w:p>
      <w:pPr>
        <w:rPr>
          <w:rFonts w:hint="eastAsia"/>
        </w:rPr>
      </w:pPr>
      <w:r>
        <w:rPr>
          <w:rFonts w:hint="eastAsia"/>
        </w:rPr>
        <w:t>一、保险期限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缺陷责任期：自工程竣工验收合格之日起，至竣工验收合格后2年止。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质量潜在缺陷保险期：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地基基础工程、主体结构工程：自竣工验收合格之日起10年；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屋面防水工程：自竣工验收合格之日起5年；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其他土建工程：自竣工验收合格之日起5年；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装修工程、电气管线、上下水管线安装工程、供热/供冷系统工程：自竣工验收合格之日起2年。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二、承保范围与对应评分项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条款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承保范围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对应评价得分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第1款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地基基础工程、主体结构工程、屋面防水工程及其他土建工程的质量潜在缺陷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第2款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装修工程、电气管线、上下水管线安装工程、供热/供冷系统工程的质量潜在缺陷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r>
              <w:rPr>
                <w:rFonts w:hint="eastAsia"/>
              </w:rPr>
              <w:t>第3款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绿色建筑性能保险（含建筑节能、室内环境、可再生能源利用等绿色性能保障）</w:t>
            </w:r>
          </w:p>
        </w:tc>
        <w:tc>
          <w:tcPr>
            <w:tcW w:w="2841" w:type="dxa"/>
          </w:tcPr>
          <w:p>
            <w:r>
              <w:rPr>
                <w:rFonts w:hint="eastAsia"/>
              </w:rPr>
              <w:t>10分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三、保险责任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在保险期间内，因设计、材料、施工等原因导致的本保单约定范围内的质量潜在缺陷，造成建筑物本体损坏或影响正常使用的，保险人按照本保单约定负责赔偿修复费用及相关合理费用。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绿色建筑性能保险责任：保障项目在保险期内维持设计阶段的绿色建筑性能指标（如节能率、室内舒适度、可再生能源利用率等），因性能不达标产生的整改费用由保险人承担。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四、责任免除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战争、地震、洪水等不可抗力造成的损坏；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投保人/被保险人故意或重大过失行为导致的损坏；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正常使用磨损、老化及非质量问题导致的损坏；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未经保险人书面同意的擅自改造、装修导致的损坏。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五、保险金额与保费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总保险金额：人民币</w:t>
      </w:r>
      <w:r>
        <w:rPr>
          <w:rFonts w:hint="eastAsia"/>
          <w:lang w:val="en-US" w:eastAsia="zh-CN"/>
        </w:rPr>
        <w:t>12000000</w:t>
      </w:r>
      <w:r>
        <w:rPr>
          <w:rFonts w:hint="eastAsia"/>
        </w:rPr>
        <w:t xml:space="preserve"> 元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地基基础/主体结构部分：人民币</w:t>
      </w:r>
      <w:r>
        <w:rPr>
          <w:rFonts w:hint="eastAsia"/>
          <w:lang w:val="en-US" w:eastAsia="zh-CN"/>
        </w:rPr>
        <w:t>7000000</w:t>
      </w:r>
      <w:r>
        <w:rPr>
          <w:rFonts w:hint="eastAsia"/>
        </w:rPr>
        <w:t xml:space="preserve"> 元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屋面防水/其他土建部分：人民币</w:t>
      </w:r>
      <w:r>
        <w:rPr>
          <w:rFonts w:hint="eastAsia"/>
          <w:lang w:val="en-US" w:eastAsia="zh-CN"/>
        </w:rPr>
        <w:t>1500000</w:t>
      </w:r>
      <w:r>
        <w:rPr>
          <w:rFonts w:hint="eastAsia"/>
        </w:rPr>
        <w:t xml:space="preserve"> 元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装修/机电安装部分：人民币</w:t>
      </w:r>
      <w:r>
        <w:rPr>
          <w:rFonts w:hint="eastAsia"/>
          <w:lang w:val="en-US" w:eastAsia="zh-CN"/>
        </w:rPr>
        <w:t>2000000</w:t>
      </w:r>
      <w:r>
        <w:rPr>
          <w:rFonts w:hint="eastAsia"/>
        </w:rPr>
        <w:t>元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绿色建筑性能部分：人民币</w:t>
      </w:r>
      <w:r>
        <w:rPr>
          <w:rFonts w:hint="eastAsia"/>
          <w:lang w:val="en-US" w:eastAsia="zh-CN"/>
        </w:rPr>
        <w:t>1500000</w:t>
      </w:r>
      <w:r>
        <w:rPr>
          <w:rFonts w:hint="eastAsia"/>
        </w:rPr>
        <w:t xml:space="preserve"> 元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保费总额：人民币</w:t>
      </w:r>
      <w:r>
        <w:rPr>
          <w:rFonts w:hint="eastAsia"/>
          <w:lang w:val="en-US" w:eastAsia="zh-CN"/>
        </w:rPr>
        <w:t>600000</w:t>
      </w:r>
      <w:r>
        <w:rPr>
          <w:rFonts w:hint="eastAsia"/>
        </w:rPr>
        <w:t>元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六、投保与理赔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投保材料：需提供工程设计图纸、竣工验收报告、绿色建筑评价标识证书、工程结算文件等。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理赔流程：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发现缺陷后48小时内报案；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保险人现场查勘、委托第三方机构鉴定缺陷原因；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核定损失后，在15个工作日内支付赔款或直接支付修复费用至施工单位。</w:t>
      </w:r>
    </w:p>
    <w:p>
      <w:pPr>
        <w:rPr>
          <w:rFonts w:hint="eastAsia"/>
        </w:rPr>
      </w:pPr>
      <w:r>
        <w:rPr>
          <w:rFonts w:hint="eastAsia"/>
        </w:rPr>
        <w:t>七、特别约定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本保单对应绿色建筑评价标准9.2.9条，可作为项目绿色建筑评价申报材料。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若项目绿色建筑性能指标在保险期内未达标，保险人需在30日内完成整改或赔付相应性能提升费用。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本保单未尽事宜，以《建设工程质量潜在缺陷保险示范条款》及《绿色建筑性能保险条款》为准。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jc w:val="right"/>
        <w:rPr>
          <w:rFonts w:hint="eastAsia"/>
        </w:rPr>
      </w:pPr>
      <w:r>
        <w:rPr>
          <w:rFonts w:hint="eastAsia"/>
        </w:rPr>
        <w:t>投保人（盖章）：</w:t>
      </w:r>
      <w:r>
        <w:rPr>
          <w:rFonts w:hint="eastAsia"/>
          <w:lang w:val="en-US" w:eastAsia="zh-CN"/>
        </w:rPr>
        <w:t>浮光方序博物馆建设有限公司</w:t>
      </w:r>
    </w:p>
    <w:p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</w:rPr>
        <w:t>保险人（盖章）：</w:t>
      </w:r>
      <w:r>
        <w:rPr>
          <w:rFonts w:hint="eastAsia"/>
          <w:lang w:val="en-US" w:eastAsia="zh-CN"/>
        </w:rPr>
        <w:t>中国人民财产保险股份有限公司</w:t>
      </w:r>
    </w:p>
    <w:p>
      <w:pPr>
        <w:jc w:val="right"/>
        <w:rPr>
          <w:rFonts w:hint="eastAsia"/>
        </w:rPr>
      </w:pPr>
      <w:r>
        <w:rPr>
          <w:rFonts w:hint="eastAsia"/>
        </w:rPr>
        <w:t>签订日期：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17</w:t>
      </w:r>
      <w:bookmarkStart w:id="0" w:name="_GoBack"/>
      <w:bookmarkEnd w:id="0"/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C5FF0"/>
    <w:rsid w:val="03423910"/>
    <w:rsid w:val="67DC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2026-03-17T14:03:00Z</dcterms:created>
  <dc:creator>偷喝汽水.</dc:creator>
  <cp:lastModifiedBy>偷喝汽水.</cp:lastModifiedBy>
  <dcterms:modified xsi:type="dcterms:W3CDTF">2026-03-17T14:21:40Z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