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ABD91">
      <w:pPr>
        <w:jc w:val="center"/>
        <w:rPr>
          <w:rFonts w:hint="eastAsia"/>
        </w:rPr>
      </w:pPr>
      <w:r>
        <w:rPr>
          <w:rFonts w:hint="eastAsia"/>
        </w:rPr>
        <w:t>户外活动场地遮荫面积比例计算书</w:t>
      </w:r>
    </w:p>
    <w:p w14:paraId="7BDC39AC">
      <w:pPr>
        <w:rPr>
          <w:rFonts w:hint="eastAsia"/>
        </w:rPr>
      </w:pPr>
    </w:p>
    <w:p w14:paraId="0885BD09">
      <w:pPr>
        <w:rPr>
          <w:rFonts w:hint="eastAsia"/>
        </w:rPr>
      </w:pPr>
      <w:r>
        <w:rPr>
          <w:rFonts w:hint="eastAsia"/>
        </w:rPr>
        <w:t>一、工程概况</w:t>
      </w:r>
    </w:p>
    <w:p w14:paraId="72B61820">
      <w:pPr>
        <w:rPr>
          <w:rFonts w:hint="eastAsia"/>
        </w:rPr>
      </w:pPr>
    </w:p>
    <w:p w14:paraId="2CA1BA94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2F496E46">
      <w:pPr>
        <w:rPr>
          <w:rFonts w:hint="eastAsia"/>
        </w:rPr>
      </w:pPr>
    </w:p>
    <w:p w14:paraId="1F722C42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63AF161C">
      <w:pPr>
        <w:rPr>
          <w:rFonts w:hint="eastAsia"/>
        </w:rPr>
      </w:pPr>
    </w:p>
    <w:p w14:paraId="20D5D015">
      <w:pPr>
        <w:rPr>
          <w:rFonts w:hint="eastAsia"/>
        </w:rPr>
      </w:pPr>
      <w:r>
        <w:rPr>
          <w:rFonts w:hint="eastAsia"/>
        </w:rPr>
        <w:t>• 用地面积：18750㎡</w:t>
      </w:r>
    </w:p>
    <w:p w14:paraId="52D54C3F">
      <w:pPr>
        <w:rPr>
          <w:rFonts w:hint="eastAsia"/>
        </w:rPr>
      </w:pPr>
    </w:p>
    <w:p w14:paraId="292BC001">
      <w:pPr>
        <w:rPr>
          <w:rFonts w:hint="eastAsia"/>
        </w:rPr>
      </w:pPr>
      <w:r>
        <w:rPr>
          <w:rFonts w:hint="eastAsia"/>
        </w:rPr>
        <w:t>• 绿地率：32%</w:t>
      </w:r>
    </w:p>
    <w:p w14:paraId="7A5FB883">
      <w:pPr>
        <w:rPr>
          <w:rFonts w:hint="eastAsia"/>
        </w:rPr>
      </w:pPr>
    </w:p>
    <w:p w14:paraId="4C09C2D8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4D26371B">
      <w:pPr>
        <w:rPr>
          <w:rFonts w:hint="eastAsia"/>
        </w:rPr>
      </w:pPr>
    </w:p>
    <w:p w14:paraId="6D949288">
      <w:pPr>
        <w:rPr>
          <w:rFonts w:hint="eastAsia"/>
        </w:rPr>
      </w:pPr>
      <w:r>
        <w:rPr>
          <w:rFonts w:hint="eastAsia"/>
        </w:rPr>
        <w:t>• 建筑层数：3层</w:t>
      </w:r>
    </w:p>
    <w:p w14:paraId="69165712">
      <w:pPr>
        <w:rPr>
          <w:rFonts w:hint="eastAsia"/>
        </w:rPr>
      </w:pPr>
    </w:p>
    <w:p w14:paraId="6C577B14">
      <w:pPr>
        <w:rPr>
          <w:rFonts w:hint="eastAsia"/>
        </w:rPr>
      </w:pPr>
      <w:r>
        <w:rPr>
          <w:rFonts w:hint="eastAsia"/>
        </w:rPr>
        <w:t>• 建筑高度：15.9m</w:t>
      </w:r>
    </w:p>
    <w:p w14:paraId="4EB52A3E">
      <w:pPr>
        <w:rPr>
          <w:rFonts w:hint="eastAsia"/>
        </w:rPr>
      </w:pPr>
    </w:p>
    <w:p w14:paraId="6A4261AC">
      <w:pPr>
        <w:rPr>
          <w:rFonts w:hint="eastAsia"/>
        </w:rPr>
      </w:pPr>
      <w:r>
        <w:rPr>
          <w:rFonts w:hint="eastAsia"/>
        </w:rPr>
        <w:t>• 编制单位：建筑设计研究院有限公司</w:t>
      </w:r>
    </w:p>
    <w:p w14:paraId="200E8C70">
      <w:pPr>
        <w:rPr>
          <w:rFonts w:hint="eastAsia"/>
        </w:rPr>
      </w:pPr>
    </w:p>
    <w:p w14:paraId="514985A9">
      <w:pPr>
        <w:rPr>
          <w:rFonts w:hint="eastAsia"/>
        </w:rPr>
      </w:pPr>
      <w:r>
        <w:rPr>
          <w:rFonts w:hint="eastAsia"/>
        </w:rPr>
        <w:t>• 编制日期：2026年03月19日</w:t>
      </w:r>
    </w:p>
    <w:p w14:paraId="7ABA94F2">
      <w:pPr>
        <w:rPr>
          <w:rFonts w:hint="eastAsia"/>
        </w:rPr>
      </w:pPr>
    </w:p>
    <w:p w14:paraId="41C11DEC">
      <w:pPr>
        <w:rPr>
          <w:rFonts w:hint="eastAsia"/>
        </w:rPr>
      </w:pPr>
      <w:r>
        <w:rPr>
          <w:rFonts w:hint="eastAsia"/>
        </w:rPr>
        <w:t>• 编制依据：</w:t>
      </w:r>
    </w:p>
    <w:p w14:paraId="29777382">
      <w:pPr>
        <w:rPr>
          <w:rFonts w:hint="eastAsia"/>
        </w:rPr>
      </w:pPr>
    </w:p>
    <w:p w14:paraId="4B0ED55C">
      <w:pPr>
        <w:rPr>
          <w:rFonts w:hint="eastAsia"/>
        </w:rPr>
      </w:pPr>
      <w:r>
        <w:rPr>
          <w:rFonts w:hint="eastAsia"/>
        </w:rPr>
        <w:t>1. 《绿色建筑评价标准》GB/T 50378-2019 第8.2.9条</w:t>
      </w:r>
    </w:p>
    <w:p w14:paraId="36E0FDCA">
      <w:pPr>
        <w:rPr>
          <w:rFonts w:hint="eastAsia"/>
        </w:rPr>
      </w:pPr>
    </w:p>
    <w:p w14:paraId="0673E6F2">
      <w:pPr>
        <w:rPr>
          <w:rFonts w:hint="eastAsia"/>
        </w:rPr>
      </w:pPr>
      <w:r>
        <w:rPr>
          <w:rFonts w:hint="eastAsia"/>
        </w:rPr>
        <w:t>2. 《浮光方序Ⅰ——豫南绿色现代博物馆》总平面图（图号：BKA80273-05）</w:t>
      </w:r>
    </w:p>
    <w:p w14:paraId="3D8FD1A7">
      <w:pPr>
        <w:rPr>
          <w:rFonts w:hint="eastAsia"/>
        </w:rPr>
      </w:pPr>
    </w:p>
    <w:p w14:paraId="5731A2AF">
      <w:pPr>
        <w:rPr>
          <w:rFonts w:hint="eastAsia"/>
        </w:rPr>
      </w:pPr>
      <w:r>
        <w:rPr>
          <w:rFonts w:hint="eastAsia"/>
        </w:rPr>
        <w:t>3. 《浮光方序Ⅰ——豫南绿色现代博物馆》日照分析报告（报告编号：20260316-01）</w:t>
      </w:r>
    </w:p>
    <w:p w14:paraId="1D520CFD">
      <w:pPr>
        <w:rPr>
          <w:rFonts w:hint="eastAsia"/>
        </w:rPr>
      </w:pPr>
    </w:p>
    <w:p w14:paraId="15CF5C7C">
      <w:pPr>
        <w:rPr>
          <w:rFonts w:hint="eastAsia"/>
        </w:rPr>
      </w:pPr>
      <w:r>
        <w:rPr>
          <w:rFonts w:hint="eastAsia"/>
        </w:rPr>
        <w:t>4. 《浮光方序Ⅰ——豫南绿色现代博物馆》植物配置图、景观设计图纸</w:t>
      </w:r>
    </w:p>
    <w:p w14:paraId="5D7594A4">
      <w:pPr>
        <w:rPr>
          <w:rFonts w:hint="eastAsia"/>
        </w:rPr>
      </w:pPr>
    </w:p>
    <w:p w14:paraId="2061A707">
      <w:pPr>
        <w:rPr>
          <w:rFonts w:hint="eastAsia"/>
        </w:rPr>
      </w:pPr>
      <w:r>
        <w:rPr>
          <w:rFonts w:hint="eastAsia"/>
        </w:rPr>
        <w:t>5. 场地现状地形测绘数据及建筑阴影分析成果</w:t>
      </w:r>
    </w:p>
    <w:p w14:paraId="0D5B934D">
      <w:pPr>
        <w:rPr>
          <w:rFonts w:hint="eastAsia"/>
        </w:rPr>
      </w:pPr>
      <w:r>
        <w:rPr>
          <w:rFonts w:hint="eastAsia"/>
        </w:rPr>
        <w:t>二、计算范围与定义</w:t>
      </w:r>
    </w:p>
    <w:p w14:paraId="7EDB3830">
      <w:pPr>
        <w:rPr>
          <w:rFonts w:hint="eastAsia"/>
        </w:rPr>
      </w:pPr>
    </w:p>
    <w:p w14:paraId="39BC6ACF">
      <w:pPr>
        <w:rPr>
          <w:rFonts w:hint="eastAsia"/>
        </w:rPr>
      </w:pPr>
      <w:r>
        <w:rPr>
          <w:rFonts w:hint="eastAsia"/>
        </w:rPr>
        <w:t>1. 计算范围</w:t>
      </w:r>
    </w:p>
    <w:p w14:paraId="548383A8">
      <w:pPr>
        <w:rPr>
          <w:rFonts w:hint="eastAsia"/>
        </w:rPr>
      </w:pPr>
    </w:p>
    <w:p w14:paraId="59E6DEE4">
      <w:pPr>
        <w:rPr>
          <w:rFonts w:hint="eastAsia"/>
        </w:rPr>
      </w:pPr>
      <w:r>
        <w:rPr>
          <w:rFonts w:hint="eastAsia"/>
        </w:rPr>
        <w:t>本次计算范围为场地中处于建筑阴影区外的户外活动场地，具体包含：</w:t>
      </w:r>
    </w:p>
    <w:p w14:paraId="3BB8D08E">
      <w:pPr>
        <w:rPr>
          <w:rFonts w:hint="eastAsia"/>
        </w:rPr>
      </w:pPr>
    </w:p>
    <w:p w14:paraId="76786AF9">
      <w:pPr>
        <w:rPr>
          <w:rFonts w:hint="eastAsia"/>
        </w:rPr>
      </w:pPr>
      <w:r>
        <w:rPr>
          <w:rFonts w:hint="eastAsia"/>
        </w:rPr>
        <w:t>• 主入口集散广场及两侧景观步道</w:t>
      </w:r>
    </w:p>
    <w:p w14:paraId="7235B325">
      <w:pPr>
        <w:rPr>
          <w:rFonts w:hint="eastAsia"/>
        </w:rPr>
      </w:pPr>
    </w:p>
    <w:p w14:paraId="548F1237">
      <w:pPr>
        <w:rPr>
          <w:rFonts w:hint="eastAsia"/>
        </w:rPr>
      </w:pPr>
      <w:r>
        <w:rPr>
          <w:rFonts w:hint="eastAsia"/>
        </w:rPr>
        <w:t>• 内庭院休憩活动场地</w:t>
      </w:r>
    </w:p>
    <w:p w14:paraId="41CC4DB4">
      <w:pPr>
        <w:rPr>
          <w:rFonts w:hint="eastAsia"/>
        </w:rPr>
      </w:pPr>
    </w:p>
    <w:p w14:paraId="65D3E8EF">
      <w:pPr>
        <w:rPr>
          <w:rFonts w:hint="eastAsia"/>
        </w:rPr>
      </w:pPr>
      <w:r>
        <w:rPr>
          <w:rFonts w:hint="eastAsia"/>
        </w:rPr>
        <w:t>• 沿城市道路侧景观步行道</w:t>
      </w:r>
    </w:p>
    <w:p w14:paraId="32C6A437">
      <w:pPr>
        <w:rPr>
          <w:rFonts w:hint="eastAsia"/>
        </w:rPr>
      </w:pPr>
    </w:p>
    <w:p w14:paraId="1C3B545E">
      <w:pPr>
        <w:rPr>
          <w:rFonts w:hint="eastAsia"/>
        </w:rPr>
      </w:pPr>
      <w:r>
        <w:rPr>
          <w:rFonts w:hint="eastAsia"/>
        </w:rPr>
        <w:t>• 建筑周边开放活动场地</w:t>
      </w:r>
    </w:p>
    <w:p w14:paraId="4F95E7D8">
      <w:pPr>
        <w:rPr>
          <w:rFonts w:hint="eastAsia"/>
        </w:rPr>
      </w:pPr>
    </w:p>
    <w:p w14:paraId="60068FA3">
      <w:pPr>
        <w:rPr>
          <w:rFonts w:hint="eastAsia"/>
        </w:rPr>
      </w:pPr>
      <w:r>
        <w:rPr>
          <w:rFonts w:hint="eastAsia"/>
        </w:rPr>
        <w:t>2. 定义说明</w:t>
      </w:r>
    </w:p>
    <w:p w14:paraId="2457FFD0">
      <w:pPr>
        <w:rPr>
          <w:rFonts w:hint="eastAsia"/>
        </w:rPr>
      </w:pPr>
    </w:p>
    <w:p w14:paraId="47A386D7">
      <w:pPr>
        <w:rPr>
          <w:rFonts w:hint="eastAsia"/>
        </w:rPr>
      </w:pPr>
      <w:r>
        <w:rPr>
          <w:rFonts w:hint="eastAsia"/>
        </w:rPr>
        <w:t>• 建筑阴影区外：指夏季典型日照时段（9:00-15:00）内，不受本建筑自身阴影覆盖的室外区域，数据来源于日照分析报告。</w:t>
      </w:r>
    </w:p>
    <w:p w14:paraId="0E4A1564">
      <w:pPr>
        <w:rPr>
          <w:rFonts w:hint="eastAsia"/>
        </w:rPr>
      </w:pPr>
    </w:p>
    <w:p w14:paraId="2C2EAC7F">
      <w:pPr>
        <w:rPr>
          <w:rFonts w:hint="eastAsia"/>
        </w:rPr>
      </w:pPr>
      <w:r>
        <w:rPr>
          <w:rFonts w:hint="eastAsia"/>
        </w:rPr>
        <w:t>• 遮荫措施：包括乔木自然遮荫、景观廊架/遮阳棚等人工遮荫设施，可有效降低太阳辐射强度、改善场地热环境。</w:t>
      </w:r>
    </w:p>
    <w:p w14:paraId="5CA32270">
      <w:pPr>
        <w:rPr>
          <w:rFonts w:hint="eastAsia"/>
        </w:rPr>
      </w:pPr>
    </w:p>
    <w:p w14:paraId="38D82216">
      <w:pPr>
        <w:rPr>
          <w:rFonts w:hint="eastAsia"/>
        </w:rPr>
      </w:pPr>
      <w:r>
        <w:rPr>
          <w:rFonts w:hint="eastAsia"/>
        </w:rPr>
        <w:t>• 公共建筑遮荫达标要求（依据GB/T 50378-2019第8.2.9条第1款）：</w:t>
      </w:r>
    </w:p>
    <w:p w14:paraId="3BD5D351">
      <w:pPr>
        <w:rPr>
          <w:rFonts w:hint="eastAsia"/>
        </w:rPr>
      </w:pPr>
    </w:p>
    <w:p w14:paraId="6DD9E1EC">
      <w:pPr>
        <w:rPr>
          <w:rFonts w:hint="eastAsia"/>
        </w:rPr>
      </w:pPr>
      <w:r>
        <w:rPr>
          <w:rFonts w:hint="eastAsia"/>
        </w:rPr>
        <w:t>◦ 遮荫面积比例≥10%，得2分；</w:t>
      </w:r>
    </w:p>
    <w:p w14:paraId="697C684B">
      <w:pPr>
        <w:rPr>
          <w:rFonts w:hint="eastAsia"/>
        </w:rPr>
      </w:pPr>
    </w:p>
    <w:p w14:paraId="137FF324">
      <w:pPr>
        <w:rPr>
          <w:rFonts w:hint="eastAsia"/>
        </w:rPr>
      </w:pPr>
      <w:r>
        <w:rPr>
          <w:rFonts w:hint="eastAsia"/>
        </w:rPr>
        <w:t>◦ 遮荫面积比例≥30%，得3分。</w:t>
      </w:r>
    </w:p>
    <w:p w14:paraId="0D2AAC09">
      <w:pPr>
        <w:rPr>
          <w:rFonts w:hint="eastAsia"/>
        </w:rPr>
      </w:pPr>
      <w:r>
        <w:rPr>
          <w:rFonts w:hint="eastAsia"/>
        </w:rPr>
        <w:t>三、基础数据采集</w:t>
      </w:r>
    </w:p>
    <w:p w14:paraId="4986B007">
      <w:pPr>
        <w:rPr>
          <w:rFonts w:hint="eastAsia"/>
        </w:rPr>
      </w:pPr>
    </w:p>
    <w:p w14:paraId="7B972EE8">
      <w:pPr>
        <w:rPr>
          <w:rFonts w:hint="eastAsia"/>
        </w:rPr>
      </w:pPr>
      <w:r>
        <w:rPr>
          <w:rFonts w:hint="eastAsia"/>
        </w:rPr>
        <w:t>1. 户外活动场地总面积</w:t>
      </w:r>
    </w:p>
    <w:p w14:paraId="75FA3FDA">
      <w:pPr>
        <w:rPr>
          <w:rFonts w:hint="eastAsia"/>
        </w:rPr>
      </w:pPr>
    </w:p>
    <w:p w14:paraId="03A87F86">
      <w:pPr>
        <w:rPr>
          <w:rFonts w:hint="eastAsia"/>
        </w:rPr>
      </w:pPr>
      <w:r>
        <w:rPr>
          <w:rFonts w:hint="eastAsia"/>
        </w:rPr>
        <w:t>根据总平面图CAD量测，并结合日照分析报告剔除建筑阴影覆盖区域后，建筑阴影区外的户外活动场地总面积为：</w:t>
      </w:r>
    </w:p>
    <w:p w14:paraId="79A2A876">
      <w:pPr>
        <w:rPr>
          <w:rFonts w:hint="eastAsia"/>
        </w:rPr>
      </w:pPr>
      <w:r>
        <w:rPr>
          <w:rFonts w:hint="eastAsia"/>
        </w:rPr>
        <w:t>3200㎡</w:t>
      </w:r>
    </w:p>
    <w:p w14:paraId="6D55FB84">
      <w:pPr>
        <w:rPr>
          <w:rFonts w:hint="eastAsia"/>
        </w:rPr>
      </w:pPr>
      <w:r>
        <w:rPr>
          <w:rFonts w:hint="eastAsia"/>
        </w:rPr>
        <w:t>（数据来源：AutoCAD 2024量测 + 日照分析软件模拟结果）</w:t>
      </w:r>
    </w:p>
    <w:p w14:paraId="387C99D1">
      <w:pPr>
        <w:rPr>
          <w:rFonts w:hint="eastAsia"/>
        </w:rPr>
      </w:pPr>
    </w:p>
    <w:p w14:paraId="2F95704E">
      <w:pPr>
        <w:rPr>
          <w:rFonts w:hint="eastAsia"/>
        </w:rPr>
      </w:pPr>
      <w:r>
        <w:rPr>
          <w:rFonts w:hint="eastAsia"/>
        </w:rPr>
        <w:t>2. 各类遮荫措施面积统计</w:t>
      </w:r>
    </w:p>
    <w:p w14:paraId="2E4F6140">
      <w:pPr>
        <w:rPr>
          <w:rFonts w:hint="eastAsia"/>
        </w:rPr>
      </w:pPr>
      <w:r>
        <w:rPr>
          <w:rFonts w:hint="eastAsia"/>
        </w:rPr>
        <w:t xml:space="preserve">遮荫类型 具体位置 遮荫面积（㎡） 备注 </w:t>
      </w:r>
    </w:p>
    <w:p w14:paraId="2FAE5A2A">
      <w:pPr>
        <w:rPr>
          <w:rFonts w:hint="eastAsia"/>
        </w:rPr>
      </w:pPr>
      <w:r>
        <w:rPr>
          <w:rFonts w:hint="eastAsia"/>
        </w:rPr>
        <w:t xml:space="preserve">乔木遮荫 主入口广场两侧、内庭院、景观步行道两侧 928 选用胸径≥15cm的乡土落叶乔木，夏季冠幅≥6m，遮荫率≥80%，符合豫南气候适应性要求 </w:t>
      </w:r>
    </w:p>
    <w:p w14:paraId="19B1CEB4">
      <w:pPr>
        <w:rPr>
          <w:rFonts w:hint="eastAsia"/>
        </w:rPr>
      </w:pPr>
      <w:r>
        <w:rPr>
          <w:rFonts w:hint="eastAsia"/>
        </w:rPr>
        <w:t xml:space="preserve">构筑物遮荫 主入口廊架、内庭院休憩区遮阳棚 32 钢结构框架+透光率≤30%的PC遮阳板，遮荫率100%，兼顾通风与景观通透性 </w:t>
      </w:r>
    </w:p>
    <w:p w14:paraId="30A8F3A0">
      <w:pPr>
        <w:rPr>
          <w:rFonts w:hint="eastAsia"/>
        </w:rPr>
      </w:pPr>
      <w:r>
        <w:rPr>
          <w:rFonts w:hint="eastAsia"/>
        </w:rPr>
        <w:t xml:space="preserve">合计 - 960 - </w:t>
      </w:r>
    </w:p>
    <w:p w14:paraId="16F75753">
      <w:pPr>
        <w:rPr>
          <w:rFonts w:hint="eastAsia"/>
        </w:rPr>
      </w:pPr>
    </w:p>
    <w:p w14:paraId="0FC65D09">
      <w:pPr>
        <w:rPr>
          <w:rFonts w:hint="eastAsia"/>
        </w:rPr>
      </w:pPr>
      <w:r>
        <w:rPr>
          <w:rFonts w:hint="eastAsia"/>
        </w:rPr>
        <w:t>四、遮荫面积比例计算</w:t>
      </w:r>
    </w:p>
    <w:p w14:paraId="287BECE4">
      <w:pPr>
        <w:rPr>
          <w:rFonts w:hint="eastAsia"/>
        </w:rPr>
      </w:pPr>
    </w:p>
    <w:p w14:paraId="58AA0D9A">
      <w:pPr>
        <w:rPr>
          <w:rFonts w:hint="eastAsia"/>
        </w:rPr>
      </w:pPr>
      <w:r>
        <w:rPr>
          <w:rFonts w:hint="eastAsia"/>
        </w:rPr>
        <w:t>经统计，建筑阴影区外的户外活动场地总面积为3200㎡，其中有效遮荫总面积为960㎡。</w:t>
      </w:r>
    </w:p>
    <w:p w14:paraId="4DE9E652">
      <w:pPr>
        <w:rPr>
          <w:rFonts w:hint="eastAsia"/>
        </w:rPr>
      </w:pPr>
      <w:r>
        <w:rPr>
          <w:rFonts w:hint="eastAsia"/>
        </w:rPr>
        <w:t>遮荫面积比例 = 960 ÷ 3200 × 100% = 30%</w:t>
      </w:r>
    </w:p>
    <w:p w14:paraId="79FFBE4E">
      <w:pPr>
        <w:rPr>
          <w:rFonts w:hint="eastAsia"/>
        </w:rPr>
      </w:pPr>
      <w:r>
        <w:rPr>
          <w:rFonts w:hint="eastAsia"/>
        </w:rPr>
        <w:t>五、结果判定与结论</w:t>
      </w:r>
    </w:p>
    <w:p w14:paraId="6F3D0D18">
      <w:pPr>
        <w:rPr>
          <w:rFonts w:hint="eastAsia"/>
        </w:rPr>
      </w:pPr>
    </w:p>
    <w:p w14:paraId="495A1D46">
      <w:pPr>
        <w:rPr>
          <w:rFonts w:hint="eastAsia"/>
        </w:rPr>
      </w:pPr>
      <w:r>
        <w:rPr>
          <w:rFonts w:hint="eastAsia"/>
        </w:rPr>
        <w:t>1. 规范对照</w:t>
      </w:r>
    </w:p>
    <w:p w14:paraId="3BE53901">
      <w:pPr>
        <w:rPr>
          <w:rFonts w:hint="eastAsia"/>
        </w:rPr>
      </w:pPr>
    </w:p>
    <w:p w14:paraId="77994264">
      <w:pPr>
        <w:rPr>
          <w:rFonts w:hint="eastAsia"/>
        </w:rPr>
      </w:pPr>
      <w:r>
        <w:rPr>
          <w:rFonts w:hint="eastAsia"/>
        </w:rPr>
        <w:t>依据《绿色建筑评价标准》GB/T 50378-2019 第8.2.9条第1款：</w:t>
      </w:r>
    </w:p>
    <w:p w14:paraId="68FC8A5C">
      <w:pPr>
        <w:rPr>
          <w:rFonts w:hint="eastAsia"/>
        </w:rPr>
      </w:pPr>
    </w:p>
    <w:p w14:paraId="1BB74C63">
      <w:pPr>
        <w:rPr>
          <w:rFonts w:hint="eastAsia"/>
        </w:rPr>
      </w:pPr>
      <w:r>
        <w:rPr>
          <w:rFonts w:hint="eastAsia"/>
        </w:rPr>
        <w:t>• 公共建筑户外活动场地遮荫面积比例≥10%，可得2分；</w:t>
      </w:r>
    </w:p>
    <w:p w14:paraId="12886908">
      <w:pPr>
        <w:rPr>
          <w:rFonts w:hint="eastAsia"/>
        </w:rPr>
      </w:pPr>
    </w:p>
    <w:p w14:paraId="29F1C070">
      <w:pPr>
        <w:rPr>
          <w:rFonts w:hint="eastAsia"/>
        </w:rPr>
      </w:pPr>
      <w:r>
        <w:rPr>
          <w:rFonts w:hint="eastAsia"/>
        </w:rPr>
        <w:t>• 公共建筑户外活动场地遮荫面积比例≥30%，可得3分。</w:t>
      </w:r>
    </w:p>
    <w:p w14:paraId="57BF6151">
      <w:pPr>
        <w:rPr>
          <w:rFonts w:hint="eastAsia"/>
        </w:rPr>
      </w:pPr>
    </w:p>
    <w:p w14:paraId="603525C1">
      <w:pPr>
        <w:rPr>
          <w:rFonts w:hint="eastAsia"/>
        </w:rPr>
      </w:pPr>
      <w:r>
        <w:rPr>
          <w:rFonts w:hint="eastAsia"/>
        </w:rPr>
        <w:t>本项目遮荫面积比例为 30%，满足≥30%的评分要求，可获得本条第1款满分 3分。</w:t>
      </w:r>
    </w:p>
    <w:p w14:paraId="4938D02C">
      <w:pPr>
        <w:rPr>
          <w:rFonts w:hint="eastAsia"/>
        </w:rPr>
      </w:pPr>
    </w:p>
    <w:p w14:paraId="5C6FC30A">
      <w:pPr>
        <w:rPr>
          <w:rFonts w:hint="eastAsia"/>
        </w:rPr>
      </w:pPr>
      <w:r>
        <w:rPr>
          <w:rFonts w:hint="eastAsia"/>
        </w:rPr>
        <w:t>2. 综合结论</w:t>
      </w:r>
    </w:p>
    <w:p w14:paraId="0D013EE7">
      <w:pPr>
        <w:rPr>
          <w:rFonts w:hint="eastAsia"/>
        </w:rPr>
      </w:pPr>
    </w:p>
    <w:p w14:paraId="727D19D6">
      <w:pPr>
        <w:rPr>
          <w:rFonts w:hint="eastAsia"/>
        </w:rPr>
      </w:pPr>
      <w:r>
        <w:rPr>
          <w:rFonts w:hint="eastAsia"/>
        </w:rPr>
        <w:t>本项目“浮光方序Ⅰ——基于消解与穿行的豫南绿色现代博物馆”，场地中处于建筑阴影区外的户外活动场地遮荫面积比例为 30%，符合《绿色建筑评价标准》GB/T 50378-2019 第8.2.9条第1款的评分要求，认定为达标。</w:t>
      </w:r>
    </w:p>
    <w:p w14:paraId="7BD8858D">
      <w:pPr>
        <w:rPr>
          <w:rFonts w:hint="eastAsia"/>
        </w:rPr>
      </w:pPr>
      <w:r>
        <w:rPr>
          <w:rFonts w:hint="eastAsia"/>
        </w:rPr>
        <w:t>六、附件清单</w:t>
      </w:r>
    </w:p>
    <w:p w14:paraId="78BEB4B8">
      <w:pPr>
        <w:rPr>
          <w:rFonts w:hint="eastAsia"/>
        </w:rPr>
      </w:pPr>
    </w:p>
    <w:p w14:paraId="2709503C">
      <w:pPr>
        <w:rPr>
          <w:rFonts w:hint="eastAsia"/>
        </w:rPr>
      </w:pPr>
      <w:r>
        <w:rPr>
          <w:rFonts w:hint="eastAsia"/>
        </w:rPr>
        <w:t>1. 《浮光方序Ⅰ》总平面图（图号：BKA80273-05）</w:t>
      </w:r>
    </w:p>
    <w:p w14:paraId="490DC539">
      <w:pPr>
        <w:rPr>
          <w:rFonts w:hint="eastAsia"/>
        </w:rPr>
      </w:pPr>
    </w:p>
    <w:p w14:paraId="03459142">
      <w:pPr>
        <w:rPr>
          <w:rFonts w:hint="eastAsia"/>
        </w:rPr>
      </w:pPr>
      <w:r>
        <w:rPr>
          <w:rFonts w:hint="eastAsia"/>
        </w:rPr>
        <w:t>2. 《浮光方序Ⅰ》日照分析报告（报告编号：20260316-01）</w:t>
      </w:r>
    </w:p>
    <w:p w14:paraId="6B189813">
      <w:pPr>
        <w:rPr>
          <w:rFonts w:hint="eastAsia"/>
        </w:rPr>
      </w:pPr>
    </w:p>
    <w:p w14:paraId="5E903D96">
      <w:pPr>
        <w:rPr>
          <w:rFonts w:hint="eastAsia"/>
        </w:rPr>
      </w:pPr>
      <w:r>
        <w:rPr>
          <w:rFonts w:hint="eastAsia"/>
        </w:rPr>
        <w:t>3. 《浮光方序Ⅰ》植物配置图（标注乔木位置、冠幅及遮荫范围）</w:t>
      </w:r>
    </w:p>
    <w:p w14:paraId="69EAB69D">
      <w:pPr>
        <w:rPr>
          <w:rFonts w:hint="eastAsia"/>
        </w:rPr>
      </w:pPr>
    </w:p>
    <w:p w14:paraId="6C42262C">
      <w:pPr>
        <w:rPr>
          <w:rFonts w:hint="eastAsia"/>
        </w:rPr>
      </w:pPr>
      <w:r>
        <w:rPr>
          <w:rFonts w:hint="eastAsia"/>
        </w:rPr>
        <w:t>4. 《浮光方序Ⅰ》景观构筑物遮荫设计图纸</w:t>
      </w:r>
    </w:p>
    <w:p w14:paraId="7373A486">
      <w:pPr>
        <w:rPr>
          <w:rFonts w:hint="eastAsia"/>
        </w:rPr>
      </w:pPr>
    </w:p>
    <w:p w14:paraId="37ACCCA8">
      <w:pPr>
        <w:rPr>
          <w:rFonts w:hint="eastAsia"/>
        </w:rPr>
      </w:pPr>
      <w:r>
        <w:rPr>
          <w:rFonts w:hint="eastAsia"/>
        </w:rPr>
        <w:t>5. CAD量测面积截图及日照模拟结果截图</w:t>
      </w:r>
    </w:p>
    <w:p w14:paraId="312A08DF">
      <w:pPr>
        <w:rPr>
          <w:rFonts w:hint="eastAsia"/>
        </w:rPr>
      </w:pPr>
      <w:r>
        <w:rPr>
          <w:rFonts w:hint="eastAsia"/>
        </w:rPr>
        <w:t>日期：</w:t>
      </w:r>
    </w:p>
    <w:p w14:paraId="6E0FF3C0">
      <w:pPr>
        <w:rPr>
          <w:rFonts w:hint="eastAsia"/>
        </w:rPr>
      </w:pPr>
    </w:p>
    <w:p w14:paraId="2AFB9B28">
      <w:pPr>
        <w:rPr>
          <w:rFonts w:hint="eastAsia"/>
        </w:rPr>
      </w:pPr>
      <w:r>
        <w:rPr>
          <w:rFonts w:hint="eastAsia"/>
        </w:rPr>
        <w:t>2026年03月19日</w:t>
      </w:r>
    </w:p>
    <w:p w14:paraId="525461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F38F0"/>
    <w:rsid w:val="17EF38F0"/>
    <w:rsid w:val="3F44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2026-03-19T14:27:00Z</dcterms:created>
  <dc:creator>邓睿瑞今天睡好了吗</dc:creator>
  <cp:lastModifiedBy>邓睿瑞今天睡好了吗</cp:lastModifiedBy>
  <dcterms:modified xsi:type="dcterms:W3CDTF">2026-03-19T14:37:47Z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AB332EAC264D4917BCC403A26AE6A192_11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