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B77D">
      <w:pPr>
        <w:pStyle w:val="2"/>
        <w:bidi w:val="0"/>
        <w:rPr>
          <w:rFonts w:hint="eastAsia"/>
        </w:rPr>
      </w:pPr>
      <w:r>
        <w:rPr>
          <w:rFonts w:hint="eastAsia"/>
        </w:rPr>
        <w:t>驻马店博物馆本地材料使用比例计算书</w:t>
      </w:r>
    </w:p>
    <w:p w14:paraId="4269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一、计算依据</w:t>
      </w:r>
    </w:p>
    <w:p w14:paraId="7B4FD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《绿色建筑评价标准》（GB/T 50378‑2019）</w:t>
      </w:r>
    </w:p>
    <w:p w14:paraId="1B8CE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《建筑材料应用技术规范》（GB 50210‑2018）</w:t>
      </w:r>
    </w:p>
    <w:p w14:paraId="50F0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项目材料清单、材料检测报告、材料采购合同</w:t>
      </w:r>
    </w:p>
    <w:p w14:paraId="352D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驻马店市及豫南地区建材供应范围（半径≤500km）</w:t>
      </w:r>
    </w:p>
    <w:p w14:paraId="7E1DA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二、计算范围</w:t>
      </w:r>
    </w:p>
    <w:p w14:paraId="49355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主体结构材料：混凝土、钢筋、砌块、砂浆</w:t>
      </w:r>
    </w:p>
    <w:p w14:paraId="0CA0C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围护结构材料：保温板、玻璃、铝单板、密封胶</w:t>
      </w:r>
    </w:p>
    <w:p w14:paraId="56D05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装饰装修材料：地砖、涂料、吊顶材料</w:t>
      </w:r>
    </w:p>
    <w:p w14:paraId="2E4D4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机电设备材料：管材、阀门、电线电缆</w:t>
      </w:r>
    </w:p>
    <w:p w14:paraId="1B80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三、材料分类及来源判定</w:t>
      </w:r>
    </w:p>
    <w:p w14:paraId="615C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（一）本地材料（驻马店市及豫南地区生产，运输半径≤500km）</w:t>
      </w:r>
    </w:p>
    <w:p w14:paraId="7D408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混凝土：驻马店本地商混站生产（C30、C35高性能混凝土）</w:t>
      </w:r>
    </w:p>
    <w:p w14:paraId="5C6A2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加气混凝土砌块：驻马店本地建材企业生产</w:t>
      </w:r>
    </w:p>
    <w:p w14:paraId="1576D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水泥砂浆：本地砂、水泥现场搅拌</w:t>
      </w:r>
    </w:p>
    <w:p w14:paraId="28A2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挤塑聚苯板（XPS）：豫南地区生产</w:t>
      </w:r>
    </w:p>
    <w:p w14:paraId="2861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普通钢筋（HRB400E）：河南钢铁企业生产</w:t>
      </w:r>
    </w:p>
    <w:p w14:paraId="69715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地砖、石材：南阳、驻马店本地石材厂</w:t>
      </w:r>
    </w:p>
    <w:p w14:paraId="7DFE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7. 电线电缆：河南本地企业生产</w:t>
      </w:r>
    </w:p>
    <w:p w14:paraId="105C4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（二）非本地材料（运输半径＞500km）</w:t>
      </w:r>
    </w:p>
    <w:p w14:paraId="32C90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Low‑E中空玻璃：江苏、广东生产</w:t>
      </w:r>
    </w:p>
    <w:p w14:paraId="7712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氟碳铝单板：广东、浙江生产</w:t>
      </w:r>
    </w:p>
    <w:p w14:paraId="511F2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硅酮耐候密封胶：广东生产</w:t>
      </w:r>
    </w:p>
    <w:p w14:paraId="649A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隔震支座、粘滞阻尼器：专业厂家（省外）生产</w:t>
      </w:r>
    </w:p>
    <w:p w14:paraId="4326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环氧树脂涂层钢筋：省外定制生产</w:t>
      </w:r>
    </w:p>
    <w:p w14:paraId="22A63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四、材料用量及比例计算</w:t>
      </w:r>
    </w:p>
    <w:p w14:paraId="3CB9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154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（一）主体结构材料（总用量：4700m³混凝土、365t钢筋、1200m³砌块）</w:t>
      </w:r>
    </w:p>
    <w:p w14:paraId="6D91A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本地材料用量</w:t>
      </w:r>
    </w:p>
    <w:p w14:paraId="7F5B3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混凝土：4700m³（100%本地）</w:t>
      </w:r>
    </w:p>
    <w:p w14:paraId="65142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普通钢筋：280t（本地）</w:t>
      </w:r>
    </w:p>
    <w:p w14:paraId="16C9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加气混凝土砌块：1200m³（100%本地）</w:t>
      </w:r>
    </w:p>
    <w:p w14:paraId="2A47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砂浆：320m³（100%本地）</w:t>
      </w:r>
    </w:p>
    <w:p w14:paraId="369F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非本地材料用量</w:t>
      </w:r>
    </w:p>
    <w:p w14:paraId="1A96B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环氧涂层钢筋：85t（省外）</w:t>
      </w:r>
    </w:p>
    <w:p w14:paraId="10928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主体结构本地材料比例</w:t>
      </w:r>
    </w:p>
    <w:p w14:paraId="50ACD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本地比例 =（4700+280+1200+320）÷（4700+365+1200+320）×100% = 92.3%</w:t>
      </w:r>
    </w:p>
    <w:p w14:paraId="292A2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（二）围护结构材料（总用量：9500㎡保温、1200㎡玻璃、3800㎡铝单板）</w:t>
      </w:r>
    </w:p>
    <w:p w14:paraId="317C6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本地材料用量</w:t>
      </w:r>
    </w:p>
    <w:p w14:paraId="10E8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XPS保温板：4500㎡（本地）</w:t>
      </w:r>
    </w:p>
    <w:p w14:paraId="2FB73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防水透气膜：5000㎡（本地）</w:t>
      </w:r>
    </w:p>
    <w:p w14:paraId="361E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非本地材料用量</w:t>
      </w:r>
    </w:p>
    <w:p w14:paraId="49616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Low‑E玻璃：1200㎡</w:t>
      </w:r>
    </w:p>
    <w:p w14:paraId="2BA0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氟碳铝单板：3800㎡</w:t>
      </w:r>
    </w:p>
    <w:p w14:paraId="606B8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密封胶：1200支</w:t>
      </w:r>
    </w:p>
    <w:p w14:paraId="514F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围护结构本地材料比例</w:t>
      </w:r>
    </w:p>
    <w:p w14:paraId="783C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本地比例 =（4500+5000）÷（9500+1200+3800）×100% = 68.5%</w:t>
      </w:r>
    </w:p>
    <w:p w14:paraId="1867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（三）装饰装修材料（总用量：1800㎡地砖、2000㎡涂料）</w:t>
      </w:r>
    </w:p>
    <w:p w14:paraId="01B6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本地材料用量</w:t>
      </w:r>
    </w:p>
    <w:p w14:paraId="6DA9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地砖：1800㎡（本地）</w:t>
      </w:r>
    </w:p>
    <w:p w14:paraId="4C65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内墙涂料：2000㎡（本地）</w:t>
      </w:r>
    </w:p>
    <w:p w14:paraId="3FBF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非本地材料用量：无</w:t>
      </w:r>
    </w:p>
    <w:p w14:paraId="473AF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装饰装修本地材料比例：100%</w:t>
      </w:r>
    </w:p>
    <w:p w14:paraId="4236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（四）机电设备材料（总用量：12000m管材、5000m电缆）</w:t>
      </w:r>
    </w:p>
    <w:p w14:paraId="78E7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本地材料用量</w:t>
      </w:r>
    </w:p>
    <w:p w14:paraId="6A952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给水管材：6000m（本地）</w:t>
      </w:r>
    </w:p>
    <w:p w14:paraId="7C732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电线电缆：5000m（本地）</w:t>
      </w:r>
    </w:p>
    <w:p w14:paraId="0748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608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非本地材料用量</w:t>
      </w:r>
    </w:p>
    <w:p w14:paraId="1373E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排水管材：6000m（省外）</w:t>
      </w:r>
    </w:p>
    <w:p w14:paraId="7C3F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机电材料本地比例</w:t>
      </w:r>
    </w:p>
    <w:p w14:paraId="19EB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本地比例 =（6000+5000）÷（12000+5000）×100% = 64.7%</w:t>
      </w:r>
    </w:p>
    <w:p w14:paraId="3110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五、综合本地材料比例计算</w:t>
      </w:r>
    </w:p>
    <w:p w14:paraId="4D6A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（一）权重分配</w:t>
      </w:r>
    </w:p>
    <w:p w14:paraId="47F91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主体结构：60%</w:t>
      </w:r>
    </w:p>
    <w:p w14:paraId="7AC88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围护结构：25%</w:t>
      </w:r>
    </w:p>
    <w:p w14:paraId="36A9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装饰装修：10%</w:t>
      </w:r>
    </w:p>
    <w:p w14:paraId="2F5E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机电设备：5%</w:t>
      </w:r>
    </w:p>
    <w:p w14:paraId="686E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（二）综合比例</w:t>
      </w:r>
    </w:p>
    <w:p w14:paraId="011FC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综合本地材料比例 = 92.3%×60% + 68.5%×25% + 100%×10% + 64.7%×5%</w:t>
      </w:r>
    </w:p>
    <w:p w14:paraId="2773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55.38% + 17.13% + 10% + 3.24%</w:t>
      </w:r>
    </w:p>
    <w:p w14:paraId="6D2D1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= 85.75%</w:t>
      </w:r>
    </w:p>
    <w:p w14:paraId="40505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六、计算结论</w:t>
      </w:r>
    </w:p>
    <w:p w14:paraId="1589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本项目本地材料综合使用比例为85.75%，满足绿色建筑评价标准中“本地材料比例≥60%”的要求。</w:t>
      </w:r>
    </w:p>
    <w:p w14:paraId="1C333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主体结构、装饰装修材料本地比例高，有效降低运输能耗与碳排放，符合绿色建筑低碳理念。</w:t>
      </w:r>
    </w:p>
    <w:p w14:paraId="7AD32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非本地材料主要为高端功能材料（玻璃、铝单板、隔震构件），占比低，对整体比例影响小。</w:t>
      </w:r>
    </w:p>
    <w:p w14:paraId="6DFF8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七、备注</w:t>
      </w:r>
    </w:p>
    <w:p w14:paraId="69E1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本地材料判定以生产地及运输半径为依据，数据来源于采购合同及供应商资料。</w:t>
      </w:r>
    </w:p>
    <w:p w14:paraId="0481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计算结果适用于绿色建筑评价及项目材料应用分析。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BAE077A"/>
    <w:rsid w:val="1C3C12E2"/>
    <w:rsid w:val="22233C11"/>
    <w:rsid w:val="244F54A0"/>
    <w:rsid w:val="2C55584A"/>
    <w:rsid w:val="2E454CF5"/>
    <w:rsid w:val="331D2CEA"/>
    <w:rsid w:val="33633703"/>
    <w:rsid w:val="33C75702"/>
    <w:rsid w:val="35301450"/>
    <w:rsid w:val="35611C20"/>
    <w:rsid w:val="36CF5679"/>
    <w:rsid w:val="3D677DCC"/>
    <w:rsid w:val="3E374C21"/>
    <w:rsid w:val="3E9207B3"/>
    <w:rsid w:val="403F4FF6"/>
    <w:rsid w:val="421922FE"/>
    <w:rsid w:val="43AD2714"/>
    <w:rsid w:val="43E022A5"/>
    <w:rsid w:val="47AA6C20"/>
    <w:rsid w:val="48D12D87"/>
    <w:rsid w:val="4F855D03"/>
    <w:rsid w:val="50C84447"/>
    <w:rsid w:val="598B6E78"/>
    <w:rsid w:val="5D2850E5"/>
    <w:rsid w:val="63EE7082"/>
    <w:rsid w:val="67090219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1587</Characters>
  <Lines>0</Lines>
  <Paragraphs>0</Paragraphs>
  <TotalTime>31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2026-03-20T15:44:55Z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CC1C349B281A44CE863060D6D362E189_13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