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5849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机动车道遮荫及高反射面积比例计算书</w:t>
      </w:r>
    </w:p>
    <w:bookmarkEnd w:id="0"/>
    <w:p w14:paraId="3E15900C">
      <w:pPr>
        <w:rPr>
          <w:rFonts w:hint="eastAsia"/>
        </w:rPr>
      </w:pPr>
    </w:p>
    <w:p w14:paraId="33F60311">
      <w:pPr>
        <w:rPr>
          <w:rFonts w:hint="eastAsia"/>
        </w:rPr>
      </w:pPr>
      <w:r>
        <w:rPr>
          <w:rFonts w:hint="eastAsia"/>
        </w:rPr>
        <w:t>一、工程概况</w:t>
      </w:r>
    </w:p>
    <w:p w14:paraId="666C18BC">
      <w:pPr>
        <w:rPr>
          <w:rFonts w:hint="eastAsia"/>
        </w:rPr>
      </w:pPr>
    </w:p>
    <w:p w14:paraId="1DCDC597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175963AB">
      <w:pPr>
        <w:rPr>
          <w:rFonts w:hint="eastAsia"/>
        </w:rPr>
      </w:pPr>
    </w:p>
    <w:p w14:paraId="1FD907BA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2DEFA3BE">
      <w:pPr>
        <w:rPr>
          <w:rFonts w:hint="eastAsia"/>
        </w:rPr>
      </w:pPr>
    </w:p>
    <w:p w14:paraId="349E4FEA">
      <w:pPr>
        <w:rPr>
          <w:rFonts w:hint="eastAsia"/>
        </w:rPr>
      </w:pPr>
      <w:r>
        <w:rPr>
          <w:rFonts w:hint="eastAsia"/>
        </w:rPr>
        <w:t>• 用地面积：18750㎡</w:t>
      </w:r>
    </w:p>
    <w:p w14:paraId="28C05782">
      <w:pPr>
        <w:rPr>
          <w:rFonts w:hint="eastAsia"/>
        </w:rPr>
      </w:pPr>
    </w:p>
    <w:p w14:paraId="6FC5852F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7A307472">
      <w:pPr>
        <w:rPr>
          <w:rFonts w:hint="eastAsia"/>
        </w:rPr>
      </w:pPr>
    </w:p>
    <w:p w14:paraId="110DE15D">
      <w:pPr>
        <w:rPr>
          <w:rFonts w:hint="eastAsia"/>
        </w:rPr>
      </w:pPr>
      <w:r>
        <w:rPr>
          <w:rFonts w:hint="eastAsia"/>
        </w:rPr>
        <w:t>• 建筑层数：3层</w:t>
      </w:r>
    </w:p>
    <w:p w14:paraId="177F412D">
      <w:pPr>
        <w:rPr>
          <w:rFonts w:hint="eastAsia"/>
        </w:rPr>
      </w:pPr>
    </w:p>
    <w:p w14:paraId="0F35034D">
      <w:pPr>
        <w:rPr>
          <w:rFonts w:hint="eastAsia"/>
        </w:rPr>
      </w:pPr>
      <w:r>
        <w:rPr>
          <w:rFonts w:hint="eastAsia"/>
        </w:rPr>
        <w:t>• 建筑高度：15.9m</w:t>
      </w:r>
    </w:p>
    <w:p w14:paraId="6AE8061D">
      <w:pPr>
        <w:rPr>
          <w:rFonts w:hint="eastAsia"/>
        </w:rPr>
      </w:pPr>
    </w:p>
    <w:p w14:paraId="6F385520">
      <w:pPr>
        <w:rPr>
          <w:rFonts w:hint="eastAsia"/>
        </w:rPr>
      </w:pPr>
      <w:r>
        <w:rPr>
          <w:rFonts w:hint="eastAsia"/>
        </w:rPr>
        <w:t>• 编制日期：2026年03月19日</w:t>
      </w:r>
    </w:p>
    <w:p w14:paraId="3EECECC9">
      <w:pPr>
        <w:rPr>
          <w:rFonts w:hint="eastAsia"/>
        </w:rPr>
      </w:pPr>
    </w:p>
    <w:p w14:paraId="79D41B8B">
      <w:pPr>
        <w:rPr>
          <w:rFonts w:hint="eastAsia"/>
        </w:rPr>
      </w:pPr>
      <w:r>
        <w:rPr>
          <w:rFonts w:hint="eastAsia"/>
        </w:rPr>
        <w:t>• 编制依据：</w:t>
      </w:r>
    </w:p>
    <w:p w14:paraId="304EDA1B">
      <w:pPr>
        <w:rPr>
          <w:rFonts w:hint="eastAsia"/>
        </w:rPr>
      </w:pPr>
    </w:p>
    <w:p w14:paraId="4748BF15">
      <w:pPr>
        <w:rPr>
          <w:rFonts w:hint="eastAsia"/>
        </w:rPr>
      </w:pPr>
      <w:r>
        <w:rPr>
          <w:rFonts w:hint="eastAsia"/>
        </w:rPr>
        <w:t>1. 《绿色建筑评价标准》GB/T 50378-2019 第8.2.9条</w:t>
      </w:r>
    </w:p>
    <w:p w14:paraId="1BDD0A38">
      <w:pPr>
        <w:rPr>
          <w:rFonts w:hint="eastAsia"/>
        </w:rPr>
      </w:pPr>
    </w:p>
    <w:p w14:paraId="08275D3E">
      <w:pPr>
        <w:rPr>
          <w:rFonts w:hint="eastAsia"/>
        </w:rPr>
      </w:pPr>
      <w:r>
        <w:rPr>
          <w:rFonts w:hint="eastAsia"/>
        </w:rPr>
        <w:t>2. 《浮光方序Ⅰ——豫南绿色现代博物馆》总平面图（图号：BKA80273-05）</w:t>
      </w:r>
    </w:p>
    <w:p w14:paraId="772E1561">
      <w:pPr>
        <w:rPr>
          <w:rFonts w:hint="eastAsia"/>
        </w:rPr>
      </w:pPr>
    </w:p>
    <w:p w14:paraId="4E46038F">
      <w:pPr>
        <w:rPr>
          <w:rFonts w:hint="eastAsia"/>
        </w:rPr>
      </w:pPr>
      <w:r>
        <w:rPr>
          <w:rFonts w:hint="eastAsia"/>
        </w:rPr>
        <w:t>3. 《浮光方序Ⅰ——豫南绿色现代博物馆》日照分析报告（报告编号：20260316-01）</w:t>
      </w:r>
    </w:p>
    <w:p w14:paraId="474684A0">
      <w:pPr>
        <w:rPr>
          <w:rFonts w:hint="eastAsia"/>
        </w:rPr>
      </w:pPr>
    </w:p>
    <w:p w14:paraId="0B57AB74">
      <w:pPr>
        <w:rPr>
          <w:rFonts w:hint="eastAsia"/>
        </w:rPr>
      </w:pPr>
      <w:r>
        <w:rPr>
          <w:rFonts w:hint="eastAsia"/>
        </w:rPr>
        <w:t>4. 《浮光方序Ⅰ——豫南绿色现代博物馆》屋面设计图纸、光伏板布置图</w:t>
      </w:r>
    </w:p>
    <w:p w14:paraId="3408B061">
      <w:pPr>
        <w:rPr>
          <w:rFonts w:hint="eastAsia"/>
        </w:rPr>
      </w:pPr>
    </w:p>
    <w:p w14:paraId="76EF0AAB">
      <w:pPr>
        <w:rPr>
          <w:rFonts w:hint="eastAsia"/>
        </w:rPr>
      </w:pPr>
      <w:r>
        <w:rPr>
          <w:rFonts w:hint="eastAsia"/>
        </w:rPr>
        <w:t>5. 场地机动车道及行道树配置图纸、屋面材料性能检测报告</w:t>
      </w:r>
    </w:p>
    <w:p w14:paraId="6F52C33D">
      <w:pPr>
        <w:rPr>
          <w:rFonts w:hint="eastAsia"/>
        </w:rPr>
      </w:pPr>
      <w:r>
        <w:rPr>
          <w:rFonts w:hint="eastAsia"/>
        </w:rPr>
        <w:t>二、计算范围与定义</w:t>
      </w:r>
    </w:p>
    <w:p w14:paraId="294A3CB9">
      <w:pPr>
        <w:rPr>
          <w:rFonts w:hint="eastAsia"/>
        </w:rPr>
      </w:pPr>
    </w:p>
    <w:p w14:paraId="47014A7D">
      <w:pPr>
        <w:rPr>
          <w:rFonts w:hint="eastAsia"/>
        </w:rPr>
      </w:pPr>
      <w:r>
        <w:rPr>
          <w:rFonts w:hint="eastAsia"/>
        </w:rPr>
        <w:t>1. 计算范围</w:t>
      </w:r>
    </w:p>
    <w:p w14:paraId="0FF90B30">
      <w:pPr>
        <w:rPr>
          <w:rFonts w:hint="eastAsia"/>
        </w:rPr>
      </w:pPr>
    </w:p>
    <w:p w14:paraId="0DD35DE8">
      <w:pPr>
        <w:rPr>
          <w:rFonts w:hint="eastAsia"/>
        </w:rPr>
      </w:pPr>
      <w:r>
        <w:rPr>
          <w:rFonts w:hint="eastAsia"/>
        </w:rPr>
        <w:t>本次计算分为两部分：</w:t>
      </w:r>
    </w:p>
    <w:p w14:paraId="6DDB42D6">
      <w:pPr>
        <w:rPr>
          <w:rFonts w:hint="eastAsia"/>
        </w:rPr>
      </w:pPr>
    </w:p>
    <w:p w14:paraId="3CC59FF0">
      <w:pPr>
        <w:rPr>
          <w:rFonts w:hint="eastAsia"/>
        </w:rPr>
      </w:pPr>
      <w:r>
        <w:rPr>
          <w:rFonts w:hint="eastAsia"/>
        </w:rPr>
        <w:t>1. 机动车道遮荫计算：场地中处于建筑阴影区外的机动车道，含内部车行道及临城市道路的车行路段。</w:t>
      </w:r>
    </w:p>
    <w:p w14:paraId="346A4A9B">
      <w:pPr>
        <w:rPr>
          <w:rFonts w:hint="eastAsia"/>
        </w:rPr>
      </w:pPr>
    </w:p>
    <w:p w14:paraId="3CD3BAC5">
      <w:pPr>
        <w:rPr>
          <w:rFonts w:hint="eastAsia"/>
        </w:rPr>
      </w:pPr>
      <w:r>
        <w:rPr>
          <w:rFonts w:hint="eastAsia"/>
        </w:rPr>
        <w:t>2. 屋面高反射及绿化/光伏面积计算：建筑屋面总面积，包含屋顶绿化区域、光伏板水平投影区域、太阳辐射反射系数≥0.4的屋面区域。</w:t>
      </w:r>
    </w:p>
    <w:p w14:paraId="483623B4">
      <w:pPr>
        <w:rPr>
          <w:rFonts w:hint="eastAsia"/>
        </w:rPr>
      </w:pPr>
    </w:p>
    <w:p w14:paraId="6F2B9077">
      <w:pPr>
        <w:rPr>
          <w:rFonts w:hint="eastAsia"/>
        </w:rPr>
      </w:pPr>
      <w:r>
        <w:rPr>
          <w:rFonts w:hint="eastAsia"/>
        </w:rPr>
        <w:t>2. 定义说明</w:t>
      </w:r>
    </w:p>
    <w:p w14:paraId="20849596">
      <w:pPr>
        <w:rPr>
          <w:rFonts w:hint="eastAsia"/>
        </w:rPr>
      </w:pPr>
    </w:p>
    <w:p w14:paraId="3111E487">
      <w:pPr>
        <w:rPr>
          <w:rFonts w:hint="eastAsia"/>
        </w:rPr>
      </w:pPr>
      <w:r>
        <w:rPr>
          <w:rFonts w:hint="eastAsia"/>
        </w:rPr>
        <w:t>• 建筑阴影区外：夏季典型日照时段（9:00-15:00）内，不受本建筑自身阴影覆盖的区域，数据来源于日照分析报告。</w:t>
      </w:r>
    </w:p>
    <w:p w14:paraId="4E61F666">
      <w:pPr>
        <w:rPr>
          <w:rFonts w:hint="eastAsia"/>
        </w:rPr>
      </w:pPr>
    </w:p>
    <w:p w14:paraId="3B2C0430">
      <w:pPr>
        <w:rPr>
          <w:rFonts w:hint="eastAsia"/>
        </w:rPr>
      </w:pPr>
      <w:r>
        <w:rPr>
          <w:rFonts w:hint="eastAsia"/>
        </w:rPr>
        <w:t>• 遮荫面积较大的行道树：指胸径≥15cm、冠幅≥6m的乔木，夏季遮荫率≥70%，可有效降低路面温度。</w:t>
      </w:r>
    </w:p>
    <w:p w14:paraId="2BD7226B">
      <w:pPr>
        <w:rPr>
          <w:rFonts w:hint="eastAsia"/>
        </w:rPr>
      </w:pPr>
    </w:p>
    <w:p w14:paraId="4C058DF6">
      <w:pPr>
        <w:rPr>
          <w:rFonts w:hint="eastAsia"/>
        </w:rPr>
      </w:pPr>
      <w:r>
        <w:rPr>
          <w:rFonts w:hint="eastAsia"/>
        </w:rPr>
        <w:t>• 太阳辐射反射系数：屋面材料对太阳辐射的反射能力，本项目采用反射系数≥0.4的浅色屋面材料。</w:t>
      </w:r>
    </w:p>
    <w:p w14:paraId="6E02E555">
      <w:pPr>
        <w:rPr>
          <w:rFonts w:hint="eastAsia"/>
        </w:rPr>
      </w:pPr>
    </w:p>
    <w:p w14:paraId="1497C5A7">
      <w:pPr>
        <w:rPr>
          <w:rFonts w:hint="eastAsia"/>
        </w:rPr>
      </w:pPr>
      <w:r>
        <w:rPr>
          <w:rFonts w:hint="eastAsia"/>
        </w:rPr>
        <w:t>• 规范评分要求：</w:t>
      </w:r>
    </w:p>
    <w:p w14:paraId="09ACB1BA">
      <w:pPr>
        <w:rPr>
          <w:rFonts w:hint="eastAsia"/>
        </w:rPr>
      </w:pPr>
    </w:p>
    <w:p w14:paraId="6A797CB1">
      <w:pPr>
        <w:rPr>
          <w:rFonts w:hint="eastAsia"/>
        </w:rPr>
      </w:pPr>
      <w:r>
        <w:rPr>
          <w:rFonts w:hint="eastAsia"/>
        </w:rPr>
        <w:t>◦ 第2款：机动车道中，设有遮荫面积较大的行道树的路段长度超过70%，得3分；</w:t>
      </w:r>
    </w:p>
    <w:p w14:paraId="5AC3140F">
      <w:pPr>
        <w:rPr>
          <w:rFonts w:hint="eastAsia"/>
        </w:rPr>
      </w:pPr>
    </w:p>
    <w:p w14:paraId="6EAB06BC">
      <w:pPr>
        <w:rPr>
          <w:rFonts w:hint="eastAsia"/>
        </w:rPr>
      </w:pPr>
      <w:r>
        <w:rPr>
          <w:rFonts w:hint="eastAsia"/>
        </w:rPr>
        <w:t>◦ 第3款：屋顶绿化面积、光伏板水平投影面积及太阳辐射反射系数不小于0.4的屋面面积合计达到75%，得4分。</w:t>
      </w:r>
    </w:p>
    <w:p w14:paraId="2035B882">
      <w:pPr>
        <w:rPr>
          <w:rFonts w:hint="eastAsia"/>
        </w:rPr>
      </w:pPr>
      <w:r>
        <w:rPr>
          <w:rFonts w:hint="eastAsia"/>
        </w:rPr>
        <w:t>三、机动车道遮荫情况统计</w:t>
      </w:r>
    </w:p>
    <w:p w14:paraId="24DFA833">
      <w:pPr>
        <w:rPr>
          <w:rFonts w:hint="eastAsia"/>
        </w:rPr>
      </w:pPr>
    </w:p>
    <w:p w14:paraId="71549BA1">
      <w:pPr>
        <w:rPr>
          <w:rFonts w:hint="eastAsia"/>
        </w:rPr>
      </w:pPr>
      <w:r>
        <w:rPr>
          <w:rFonts w:hint="eastAsia"/>
        </w:rPr>
        <w:t>1. 机动车道总长度</w:t>
      </w:r>
    </w:p>
    <w:p w14:paraId="453E4C12">
      <w:pPr>
        <w:rPr>
          <w:rFonts w:hint="eastAsia"/>
        </w:rPr>
      </w:pPr>
    </w:p>
    <w:p w14:paraId="292F696E">
      <w:pPr>
        <w:rPr>
          <w:rFonts w:hint="eastAsia"/>
        </w:rPr>
      </w:pPr>
      <w:r>
        <w:rPr>
          <w:rFonts w:hint="eastAsia"/>
        </w:rPr>
        <w:t>根据总平面图CAD量测，并结合日照分析报告剔除建筑阴影覆盖区域后，建筑阴影区外的机动车道总长度为：</w:t>
      </w:r>
    </w:p>
    <w:p w14:paraId="492265D8">
      <w:pPr>
        <w:rPr>
          <w:rFonts w:hint="eastAsia"/>
        </w:rPr>
      </w:pPr>
      <w:r>
        <w:rPr>
          <w:rFonts w:hint="eastAsia"/>
        </w:rPr>
        <w:t>180m</w:t>
      </w:r>
    </w:p>
    <w:p w14:paraId="6F1F567D">
      <w:pPr>
        <w:rPr>
          <w:rFonts w:hint="eastAsia"/>
        </w:rPr>
      </w:pPr>
    </w:p>
    <w:p w14:paraId="05F61B03">
      <w:pPr>
        <w:rPr>
          <w:rFonts w:hint="eastAsia"/>
        </w:rPr>
      </w:pPr>
      <w:r>
        <w:rPr>
          <w:rFonts w:hint="eastAsia"/>
        </w:rPr>
        <w:t>2. 行道树遮荫路段长度</w:t>
      </w:r>
    </w:p>
    <w:p w14:paraId="5147835A">
      <w:pPr>
        <w:rPr>
          <w:rFonts w:hint="eastAsia"/>
        </w:rPr>
      </w:pPr>
    </w:p>
    <w:p w14:paraId="49B1AFD8">
      <w:pPr>
        <w:rPr>
          <w:rFonts w:hint="eastAsia"/>
        </w:rPr>
      </w:pPr>
      <w:r>
        <w:rPr>
          <w:rFonts w:hint="eastAsia"/>
        </w:rPr>
        <w:t>沿机动车道两侧种植胸径≥15cm的乡土落叶乔木，冠幅≥6m，夏季遮荫率≥70%，形成连续遮荫带。</w:t>
      </w:r>
    </w:p>
    <w:p w14:paraId="280AE7AD">
      <w:pPr>
        <w:rPr>
          <w:rFonts w:hint="eastAsia"/>
        </w:rPr>
      </w:pPr>
    </w:p>
    <w:p w14:paraId="1A72D66C">
      <w:pPr>
        <w:rPr>
          <w:rFonts w:hint="eastAsia"/>
        </w:rPr>
      </w:pPr>
      <w:r>
        <w:rPr>
          <w:rFonts w:hint="eastAsia"/>
        </w:rPr>
        <w:t>• 设有遮荫面积较大的行道树的路段长度：135m</w:t>
      </w:r>
    </w:p>
    <w:p w14:paraId="7CFFD340">
      <w:pPr>
        <w:rPr>
          <w:rFonts w:hint="eastAsia"/>
        </w:rPr>
      </w:pPr>
    </w:p>
    <w:p w14:paraId="64581CFF">
      <w:pPr>
        <w:rPr>
          <w:rFonts w:hint="eastAsia"/>
        </w:rPr>
      </w:pPr>
      <w:r>
        <w:rPr>
          <w:rFonts w:hint="eastAsia"/>
        </w:rPr>
        <w:t>3. 遮荫路段比例</w:t>
      </w:r>
    </w:p>
    <w:p w14:paraId="19D968EA">
      <w:pPr>
        <w:rPr>
          <w:rFonts w:hint="eastAsia"/>
        </w:rPr>
      </w:pPr>
    </w:p>
    <w:p w14:paraId="2B534C40">
      <w:pPr>
        <w:rPr>
          <w:rFonts w:hint="eastAsia"/>
        </w:rPr>
      </w:pPr>
      <w:r>
        <w:rPr>
          <w:rFonts w:hint="eastAsia"/>
        </w:rPr>
        <w:t>遮荫路段长度占机动车道总长度的比例为：</w:t>
      </w:r>
    </w:p>
    <w:p w14:paraId="1E92B1DE">
      <w:pPr>
        <w:rPr>
          <w:rFonts w:hint="eastAsia"/>
        </w:rPr>
      </w:pPr>
      <w:r>
        <w:rPr>
          <w:rFonts w:hint="eastAsia"/>
        </w:rPr>
        <w:t>135m ÷ 180m = 75%</w:t>
      </w:r>
    </w:p>
    <w:p w14:paraId="18CA2476">
      <w:pPr>
        <w:rPr>
          <w:rFonts w:hint="eastAsia"/>
        </w:rPr>
      </w:pPr>
      <w:r>
        <w:rPr>
          <w:rFonts w:hint="eastAsia"/>
        </w:rPr>
        <w:t>该比例超过规范要求的70%，满足第2款评分要求，可得3分。</w:t>
      </w:r>
    </w:p>
    <w:p w14:paraId="15457309">
      <w:pPr>
        <w:rPr>
          <w:rFonts w:hint="eastAsia"/>
        </w:rPr>
      </w:pPr>
      <w:r>
        <w:rPr>
          <w:rFonts w:hint="eastAsia"/>
        </w:rPr>
        <w:t>四、屋面高反射及绿化/光伏面积统计</w:t>
      </w:r>
    </w:p>
    <w:p w14:paraId="47C0756B">
      <w:pPr>
        <w:rPr>
          <w:rFonts w:hint="eastAsia"/>
        </w:rPr>
      </w:pPr>
    </w:p>
    <w:p w14:paraId="56EDC3C5">
      <w:pPr>
        <w:rPr>
          <w:rFonts w:hint="eastAsia"/>
        </w:rPr>
      </w:pPr>
      <w:r>
        <w:rPr>
          <w:rFonts w:hint="eastAsia"/>
        </w:rPr>
        <w:t>1. 屋面总面积</w:t>
      </w:r>
    </w:p>
    <w:p w14:paraId="37260FF6">
      <w:pPr>
        <w:rPr>
          <w:rFonts w:hint="eastAsia"/>
        </w:rPr>
      </w:pPr>
    </w:p>
    <w:p w14:paraId="6BA4F0D1">
      <w:pPr>
        <w:rPr>
          <w:rFonts w:hint="eastAsia"/>
        </w:rPr>
      </w:pPr>
      <w:r>
        <w:rPr>
          <w:rFonts w:hint="eastAsia"/>
        </w:rPr>
        <w:t>根据建筑立面图及屋面平面图，本项目屋面总面积为：</w:t>
      </w:r>
    </w:p>
    <w:p w14:paraId="231120F0">
      <w:pPr>
        <w:rPr>
          <w:rFonts w:hint="eastAsia"/>
        </w:rPr>
      </w:pPr>
      <w:r>
        <w:rPr>
          <w:rFonts w:hint="eastAsia"/>
        </w:rPr>
        <w:t>2800㎡</w:t>
      </w:r>
    </w:p>
    <w:p w14:paraId="3349A4E2">
      <w:pPr>
        <w:rPr>
          <w:rFonts w:hint="eastAsia"/>
        </w:rPr>
      </w:pPr>
    </w:p>
    <w:p w14:paraId="35ECCFA4">
      <w:pPr>
        <w:rPr>
          <w:rFonts w:hint="eastAsia"/>
        </w:rPr>
      </w:pPr>
      <w:r>
        <w:rPr>
          <w:rFonts w:hint="eastAsia"/>
        </w:rPr>
        <w:t>2. 各类有效屋面面积统计</w:t>
      </w:r>
    </w:p>
    <w:p w14:paraId="25E66DE7">
      <w:pPr>
        <w:rPr>
          <w:rFonts w:hint="eastAsia"/>
        </w:rPr>
      </w:pPr>
      <w:r>
        <w:rPr>
          <w:rFonts w:hint="eastAsia"/>
        </w:rPr>
        <w:t xml:space="preserve">面积类型 具体内容 面积（㎡） 备注 </w:t>
      </w:r>
    </w:p>
    <w:p w14:paraId="119DA131">
      <w:pPr>
        <w:rPr>
          <w:rFonts w:hint="eastAsia"/>
        </w:rPr>
      </w:pPr>
      <w:r>
        <w:rPr>
          <w:rFonts w:hint="eastAsia"/>
        </w:rPr>
        <w:t xml:space="preserve">屋顶绿化面积 屋面景观绿化区域 840 乡土草本及灌木，覆土厚度≥30cm </w:t>
      </w:r>
    </w:p>
    <w:p w14:paraId="41CD0C1C">
      <w:pPr>
        <w:rPr>
          <w:rFonts w:hint="eastAsia"/>
        </w:rPr>
      </w:pPr>
      <w:r>
        <w:rPr>
          <w:rFonts w:hint="eastAsia"/>
        </w:rPr>
        <w:t xml:space="preserve">光伏板水平投影面积 屋面光伏阵列区域 560 单晶硅光伏组件，覆盖屋面北侧及西侧区域 </w:t>
      </w:r>
    </w:p>
    <w:p w14:paraId="0F0168F1">
      <w:pPr>
        <w:rPr>
          <w:rFonts w:hint="eastAsia"/>
        </w:rPr>
      </w:pPr>
      <w:r>
        <w:rPr>
          <w:rFonts w:hint="eastAsia"/>
        </w:rPr>
        <w:t xml:space="preserve">高反射屋面面积 未被绿化及光伏覆盖的剩余屋面区域 700 采用太阳辐射反射系数为0.45的浅色防水卷材 </w:t>
      </w:r>
    </w:p>
    <w:p w14:paraId="208DCC57">
      <w:pPr>
        <w:rPr>
          <w:rFonts w:hint="eastAsia"/>
        </w:rPr>
      </w:pPr>
      <w:r>
        <w:rPr>
          <w:rFonts w:hint="eastAsia"/>
        </w:rPr>
        <w:t xml:space="preserve">合计 - 2100 - </w:t>
      </w:r>
    </w:p>
    <w:p w14:paraId="3AB6F5EA">
      <w:pPr>
        <w:rPr>
          <w:rFonts w:hint="eastAsia"/>
        </w:rPr>
      </w:pPr>
    </w:p>
    <w:p w14:paraId="39C76542">
      <w:pPr>
        <w:rPr>
          <w:rFonts w:hint="eastAsia"/>
        </w:rPr>
      </w:pPr>
      <w:r>
        <w:rPr>
          <w:rFonts w:hint="eastAsia"/>
        </w:rPr>
        <w:t>3. 有效屋面面积比例</w:t>
      </w:r>
    </w:p>
    <w:p w14:paraId="29B9862D">
      <w:pPr>
        <w:rPr>
          <w:rFonts w:hint="eastAsia"/>
        </w:rPr>
      </w:pPr>
    </w:p>
    <w:p w14:paraId="10C5AD8B">
      <w:pPr>
        <w:rPr>
          <w:rFonts w:hint="eastAsia"/>
        </w:rPr>
      </w:pPr>
      <w:r>
        <w:rPr>
          <w:rFonts w:hint="eastAsia"/>
        </w:rPr>
        <w:t>有效屋面面积（绿化+光伏+高反射）占屋面总面积的比例为：</w:t>
      </w:r>
    </w:p>
    <w:p w14:paraId="15BE33EE">
      <w:pPr>
        <w:rPr>
          <w:rFonts w:hint="eastAsia"/>
        </w:rPr>
      </w:pPr>
      <w:r>
        <w:rPr>
          <w:rFonts w:hint="eastAsia"/>
        </w:rPr>
        <w:t>2100㎡ ÷ 2800㎡ = 75%</w:t>
      </w:r>
    </w:p>
    <w:p w14:paraId="0101A073">
      <w:pPr>
        <w:rPr>
          <w:rFonts w:hint="eastAsia"/>
        </w:rPr>
      </w:pPr>
      <w:r>
        <w:rPr>
          <w:rFonts w:hint="eastAsia"/>
        </w:rPr>
        <w:t>该比例达到规范要求的75%，满足第3款评分要求，可得4分。</w:t>
      </w:r>
    </w:p>
    <w:p w14:paraId="2D55B920">
      <w:pPr>
        <w:rPr>
          <w:rFonts w:hint="eastAsia"/>
        </w:rPr>
      </w:pPr>
      <w:r>
        <w:rPr>
          <w:rFonts w:hint="eastAsia"/>
        </w:rPr>
        <w:t>五、结果判定与结论</w:t>
      </w:r>
    </w:p>
    <w:p w14:paraId="5B7B2AE7">
      <w:pPr>
        <w:rPr>
          <w:rFonts w:hint="eastAsia"/>
        </w:rPr>
      </w:pPr>
    </w:p>
    <w:p w14:paraId="7717AC4A">
      <w:pPr>
        <w:rPr>
          <w:rFonts w:hint="eastAsia"/>
        </w:rPr>
      </w:pPr>
      <w:r>
        <w:rPr>
          <w:rFonts w:hint="eastAsia"/>
        </w:rPr>
        <w:t>1. 规范对照</w:t>
      </w:r>
    </w:p>
    <w:p w14:paraId="70768469">
      <w:pPr>
        <w:rPr>
          <w:rFonts w:hint="eastAsia"/>
        </w:rPr>
      </w:pPr>
    </w:p>
    <w:p w14:paraId="12718893">
      <w:pPr>
        <w:rPr>
          <w:rFonts w:hint="eastAsia"/>
        </w:rPr>
      </w:pPr>
      <w:r>
        <w:rPr>
          <w:rFonts w:hint="eastAsia"/>
        </w:rPr>
        <w:t>• 第2款（机动车道遮荫）：本项目遮荫路段长度占比为75%，超过70%的要求，得3分。</w:t>
      </w:r>
    </w:p>
    <w:p w14:paraId="2419AAAE">
      <w:pPr>
        <w:rPr>
          <w:rFonts w:hint="eastAsia"/>
        </w:rPr>
      </w:pPr>
    </w:p>
    <w:p w14:paraId="5457A70D">
      <w:pPr>
        <w:rPr>
          <w:rFonts w:hint="eastAsia"/>
        </w:rPr>
      </w:pPr>
      <w:r>
        <w:rPr>
          <w:rFonts w:hint="eastAsia"/>
        </w:rPr>
        <w:t>• 第3款（屋面高反射及绿化/光伏）：本项目有效屋面面积占比为75%，达到75%的要求，得4分。</w:t>
      </w:r>
    </w:p>
    <w:p w14:paraId="31795E60">
      <w:pPr>
        <w:rPr>
          <w:rFonts w:hint="eastAsia"/>
        </w:rPr>
      </w:pPr>
    </w:p>
    <w:p w14:paraId="0C07031C">
      <w:pPr>
        <w:rPr>
          <w:rFonts w:hint="eastAsia"/>
        </w:rPr>
      </w:pPr>
      <w:r>
        <w:rPr>
          <w:rFonts w:hint="eastAsia"/>
        </w:rPr>
        <w:t>2. 综合结论</w:t>
      </w:r>
    </w:p>
    <w:p w14:paraId="4B81575C">
      <w:pPr>
        <w:rPr>
          <w:rFonts w:hint="eastAsia"/>
        </w:rPr>
      </w:pPr>
    </w:p>
    <w:p w14:paraId="45D35355">
      <w:pPr>
        <w:rPr>
          <w:rFonts w:hint="eastAsia"/>
        </w:rPr>
      </w:pPr>
      <w:r>
        <w:rPr>
          <w:rFonts w:hint="eastAsia"/>
        </w:rPr>
        <w:t>本项目“浮光方序Ⅰ——基于消解与穿行的豫南绿色现代博物馆”，机动车道遮荫及屋面高反射相关指标均满足《绿色建筑评价标准》GB/T 50378-2019 第8.2.9条第2款、第3款的评分要求，认定为达标，可累计获得7分（含第1款3分）。</w:t>
      </w:r>
    </w:p>
    <w:p w14:paraId="73655D42">
      <w:pPr>
        <w:rPr>
          <w:rFonts w:hint="eastAsia"/>
        </w:rPr>
      </w:pPr>
      <w:r>
        <w:rPr>
          <w:rFonts w:hint="eastAsia"/>
        </w:rPr>
        <w:t>六、附件清单</w:t>
      </w:r>
    </w:p>
    <w:p w14:paraId="33EE37ED">
      <w:pPr>
        <w:rPr>
          <w:rFonts w:hint="eastAsia"/>
        </w:rPr>
      </w:pPr>
    </w:p>
    <w:p w14:paraId="7260253B">
      <w:pPr>
        <w:rPr>
          <w:rFonts w:hint="eastAsia"/>
        </w:rPr>
      </w:pPr>
      <w:r>
        <w:rPr>
          <w:rFonts w:hint="eastAsia"/>
        </w:rPr>
        <w:t>1. 《浮光方序Ⅰ》总平面图（图号：BKA80273-05）</w:t>
      </w:r>
    </w:p>
    <w:p w14:paraId="2CE3E096">
      <w:pPr>
        <w:rPr>
          <w:rFonts w:hint="eastAsia"/>
        </w:rPr>
      </w:pPr>
    </w:p>
    <w:p w14:paraId="666D1F5A">
      <w:pPr>
        <w:rPr>
          <w:rFonts w:hint="eastAsia"/>
        </w:rPr>
      </w:pPr>
      <w:r>
        <w:rPr>
          <w:rFonts w:hint="eastAsia"/>
        </w:rPr>
        <w:t>2. 《浮光方序Ⅰ》日照分析报告（报告编号：20260316-01）</w:t>
      </w:r>
    </w:p>
    <w:p w14:paraId="6BD36512">
      <w:pPr>
        <w:rPr>
          <w:rFonts w:hint="eastAsia"/>
        </w:rPr>
      </w:pPr>
    </w:p>
    <w:p w14:paraId="1686628E">
      <w:pPr>
        <w:rPr>
          <w:rFonts w:hint="eastAsia"/>
        </w:rPr>
      </w:pPr>
      <w:r>
        <w:rPr>
          <w:rFonts w:hint="eastAsia"/>
        </w:rPr>
        <w:t>3. 《浮光方序Ⅰ》机动车道及行道树配置图</w:t>
      </w:r>
    </w:p>
    <w:p w14:paraId="4057C646">
      <w:pPr>
        <w:rPr>
          <w:rFonts w:hint="eastAsia"/>
        </w:rPr>
      </w:pPr>
    </w:p>
    <w:p w14:paraId="4E545A6D">
      <w:pPr>
        <w:rPr>
          <w:rFonts w:hint="eastAsia"/>
        </w:rPr>
      </w:pPr>
      <w:r>
        <w:rPr>
          <w:rFonts w:hint="eastAsia"/>
        </w:rPr>
        <w:t>4. 《浮光方序Ⅰ》屋面设计图纸、光伏板布置图</w:t>
      </w:r>
    </w:p>
    <w:p w14:paraId="6213117B">
      <w:pPr>
        <w:rPr>
          <w:rFonts w:hint="eastAsia"/>
        </w:rPr>
      </w:pPr>
    </w:p>
    <w:p w14:paraId="67CB56F0">
      <w:pPr>
        <w:rPr>
          <w:rFonts w:hint="eastAsia"/>
        </w:rPr>
      </w:pPr>
      <w:r>
        <w:rPr>
          <w:rFonts w:hint="eastAsia"/>
        </w:rPr>
        <w:t>5. 屋面材料太阳辐射反射系数检测报告</w:t>
      </w:r>
    </w:p>
    <w:p w14:paraId="5B85E541">
      <w:pPr>
        <w:rPr>
          <w:rFonts w:hint="eastAsia"/>
        </w:rPr>
      </w:pPr>
    </w:p>
    <w:p w14:paraId="31F443B8">
      <w:pPr>
        <w:rPr>
          <w:rFonts w:hint="eastAsia"/>
        </w:rPr>
      </w:pPr>
      <w:r>
        <w:rPr>
          <w:rFonts w:hint="eastAsia"/>
        </w:rPr>
        <w:t>6. CAD量测长度及面积截图</w:t>
      </w:r>
    </w:p>
    <w:p w14:paraId="3C8AE8E1">
      <w:pPr>
        <w:rPr>
          <w:rFonts w:hint="eastAsia"/>
        </w:rPr>
      </w:pPr>
    </w:p>
    <w:p w14:paraId="46771C89">
      <w:pPr>
        <w:rPr>
          <w:rFonts w:hint="eastAsia"/>
        </w:rPr>
      </w:pPr>
      <w:r>
        <w:rPr>
          <w:rFonts w:hint="eastAsia"/>
        </w:rPr>
        <w:t>日期：</w:t>
      </w:r>
    </w:p>
    <w:p w14:paraId="3B587CEB">
      <w:pPr>
        <w:rPr>
          <w:rFonts w:hint="eastAsia"/>
        </w:rPr>
      </w:pPr>
    </w:p>
    <w:p w14:paraId="0BB51B2E">
      <w:pPr>
        <w:rPr>
          <w:rFonts w:hint="eastAsia"/>
        </w:rPr>
      </w:pPr>
      <w:r>
        <w:rPr>
          <w:rFonts w:hint="eastAsia"/>
        </w:rPr>
        <w:t>2026年03月19日</w:t>
      </w:r>
    </w:p>
    <w:p w14:paraId="71E1C4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127F7"/>
    <w:rsid w:val="6B11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2026-03-19T14:38:00Z</dcterms:created>
  <dc:creator>邓睿瑞今天睡好了吗</dc:creator>
  <cp:lastModifiedBy>邓睿瑞今天睡好了吗</cp:lastModifiedBy>
  <dcterms:modified xsi:type="dcterms:W3CDTF">2026-03-19T14:42:57Z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71253D3C81FE4052AF57A6CFE4389BEE_11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