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8D69C" w14:textId="23F4CCF7" w:rsidR="00E457F6" w:rsidRDefault="00F577B5">
      <w:pPr>
        <w:spacing w:before="480" w:after="480" w:line="288" w:lineRule="auto"/>
      </w:pPr>
      <w:r>
        <w:rPr>
          <w:rFonts w:ascii="Arial" w:eastAsia="等线" w:hAnsi="Arial" w:cs="Arial"/>
          <w:b/>
          <w:sz w:val="52"/>
        </w:rPr>
        <w:t>水资源利用方案</w:t>
      </w:r>
    </w:p>
    <w:p w14:paraId="22995171" w14:textId="77777777" w:rsidR="00E457F6" w:rsidRDefault="00F577B5">
      <w:pPr>
        <w:spacing w:before="320" w:after="120" w:line="288" w:lineRule="auto"/>
        <w:jc w:val="left"/>
        <w:outlineLvl w:val="1"/>
      </w:pPr>
      <w:bookmarkStart w:id="0" w:name="heading_0"/>
      <w:r>
        <w:rPr>
          <w:rFonts w:ascii="Arial" w:eastAsia="等线" w:hAnsi="Arial" w:cs="Arial"/>
          <w:b/>
          <w:sz w:val="32"/>
        </w:rPr>
        <w:t>一、项目概况</w:t>
      </w:r>
      <w:bookmarkEnd w:id="0"/>
    </w:p>
    <w:p w14:paraId="6ED61751" w14:textId="0B0A0237" w:rsidR="00E457F6" w:rsidRDefault="00F577B5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/>
          <w:sz w:val="22"/>
        </w:rPr>
        <w:t>本项目为</w:t>
      </w:r>
      <w:r w:rsidR="00936A47">
        <w:rPr>
          <w:rFonts w:ascii="Arial" w:eastAsia="等线" w:hAnsi="Arial" w:cs="Arial" w:hint="eastAsia"/>
          <w:sz w:val="22"/>
        </w:rPr>
        <w:t>浮</w:t>
      </w:r>
      <w:proofErr w:type="gramStart"/>
      <w:r w:rsidR="00936A47">
        <w:rPr>
          <w:rFonts w:ascii="Arial" w:eastAsia="等线" w:hAnsi="Arial" w:cs="Arial" w:hint="eastAsia"/>
          <w:sz w:val="22"/>
        </w:rPr>
        <w:t>光方序</w:t>
      </w:r>
      <w:proofErr w:type="gramEnd"/>
      <w:r w:rsidR="00936A47">
        <w:rPr>
          <w:rFonts w:ascii="Arial" w:eastAsia="等线" w:hAnsi="Arial" w:cs="Arial" w:hint="eastAsia"/>
          <w:sz w:val="22"/>
        </w:rPr>
        <w:t>博物馆</w:t>
      </w:r>
      <w:r>
        <w:rPr>
          <w:rFonts w:ascii="Arial" w:eastAsia="等线" w:hAnsi="Arial" w:cs="Arial"/>
          <w:sz w:val="22"/>
        </w:rPr>
        <w:t>，项目以绿色、节能、节水为核心建设理念，统筹利用各类水资源，严格遵循绿色建筑比赛水资源利用相关条文要求，规范用水计量、水压控制及用水器具选用，打造高效、节水、环保的水资源利用体系，助力绿色建筑比赛评分，同时实现水资源的合理高效利用。项目主要用水类型包括生活用水、公共用水、绿化用水等，配套建设用水远传计量系统、水质在线监测系统，确保水资源利用全过程可监测、可追溯。</w:t>
      </w:r>
    </w:p>
    <w:p w14:paraId="1A039E0C" w14:textId="79BBDA9D" w:rsidR="00B734FA" w:rsidRPr="00B734FA" w:rsidRDefault="00B734FA" w:rsidP="00B734FA">
      <w:pPr>
        <w:spacing w:before="120" w:after="120" w:line="288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6BEAEC0" wp14:editId="4271F2E1">
            <wp:extent cx="3787140" cy="25937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023" cy="25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7244" w14:textId="77777777" w:rsidR="00E457F6" w:rsidRDefault="00F577B5">
      <w:pPr>
        <w:spacing w:before="320" w:after="120" w:line="288" w:lineRule="auto"/>
        <w:jc w:val="left"/>
        <w:outlineLvl w:val="1"/>
      </w:pPr>
      <w:bookmarkStart w:id="1" w:name="heading_1"/>
      <w:r>
        <w:rPr>
          <w:rFonts w:ascii="Arial" w:eastAsia="等线" w:hAnsi="Arial" w:cs="Arial"/>
          <w:b/>
          <w:sz w:val="32"/>
        </w:rPr>
        <w:t>二、政策及环境分析</w:t>
      </w:r>
      <w:bookmarkEnd w:id="1"/>
    </w:p>
    <w:p w14:paraId="6AB16DA5" w14:textId="499E543B" w:rsidR="00E457F6" w:rsidRDefault="00F577B5">
      <w:pPr>
        <w:spacing w:before="300" w:after="120" w:line="288" w:lineRule="auto"/>
        <w:jc w:val="left"/>
        <w:outlineLvl w:val="2"/>
      </w:pPr>
      <w:bookmarkStart w:id="2" w:name="heading_2"/>
      <w:r>
        <w:rPr>
          <w:rFonts w:ascii="Arial" w:eastAsia="等线" w:hAnsi="Arial" w:cs="Arial"/>
          <w:b/>
          <w:sz w:val="30"/>
        </w:rPr>
        <w:t>2.1</w:t>
      </w:r>
      <w:r>
        <w:rPr>
          <w:rFonts w:ascii="Arial" w:eastAsia="等线" w:hAnsi="Arial" w:cs="Arial"/>
          <w:b/>
          <w:sz w:val="30"/>
        </w:rPr>
        <w:t>政策要求</w:t>
      </w:r>
      <w:bookmarkEnd w:id="2"/>
    </w:p>
    <w:p w14:paraId="33C85611" w14:textId="732C9636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本项目严格遵循绿色建筑比赛水资源利用相关条文规定，同时符合国家及地方节水相关政策要求，核心遵循以下规定：</w:t>
      </w: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按使用用途、付费或管理单元，分别设置用水计量装置；</w:t>
      </w: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用水点处水压大于</w:t>
      </w:r>
      <w:r>
        <w:rPr>
          <w:rFonts w:ascii="Arial" w:eastAsia="等线" w:hAnsi="Arial" w:cs="Arial"/>
          <w:sz w:val="22"/>
        </w:rPr>
        <w:t>0.2MPa</w:t>
      </w:r>
      <w:r>
        <w:rPr>
          <w:rFonts w:ascii="Arial" w:eastAsia="等线" w:hAnsi="Arial" w:cs="Arial"/>
          <w:sz w:val="22"/>
        </w:rPr>
        <w:t>的配水支管应设置减压设施，并满足用水器具最低工作压力的要求；</w:t>
      </w: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用水器具和设备应满足现行国家标准《节水型产品通用技术条件》</w:t>
      </w:r>
      <w:r>
        <w:rPr>
          <w:rFonts w:ascii="Arial" w:eastAsia="等线" w:hAnsi="Arial" w:cs="Arial"/>
          <w:sz w:val="22"/>
        </w:rPr>
        <w:t>GB/T18870</w:t>
      </w:r>
      <w:r>
        <w:rPr>
          <w:rFonts w:ascii="Arial" w:eastAsia="等线" w:hAnsi="Arial" w:cs="Arial"/>
          <w:sz w:val="22"/>
        </w:rPr>
        <w:t>的要求。此外，严格落实《民用建筑节水设计标准》</w:t>
      </w:r>
      <w:r>
        <w:rPr>
          <w:rFonts w:ascii="Arial" w:eastAsia="等线" w:hAnsi="Arial" w:cs="Arial"/>
          <w:sz w:val="22"/>
        </w:rPr>
        <w:t>GB50555-2010</w:t>
      </w:r>
      <w:r>
        <w:rPr>
          <w:rFonts w:ascii="Arial" w:eastAsia="等线" w:hAnsi="Arial" w:cs="Arial"/>
          <w:sz w:val="22"/>
        </w:rPr>
        <w:t>、《节水型生活用水器具》</w:t>
      </w:r>
      <w:r>
        <w:rPr>
          <w:rFonts w:ascii="Arial" w:eastAsia="等线" w:hAnsi="Arial" w:cs="Arial"/>
          <w:sz w:val="22"/>
        </w:rPr>
        <w:t>CJT164-2014</w:t>
      </w:r>
      <w:r>
        <w:rPr>
          <w:rFonts w:ascii="Arial" w:eastAsia="等线" w:hAnsi="Arial" w:cs="Arial"/>
          <w:sz w:val="22"/>
        </w:rPr>
        <w:t>等相关规范，加强用水计量管理、推广节水技术与设备，降低水资源消耗，提升水资源利用效率。</w:t>
      </w:r>
    </w:p>
    <w:p w14:paraId="279A9F12" w14:textId="108B7B13" w:rsidR="00E457F6" w:rsidRDefault="00F577B5">
      <w:pPr>
        <w:spacing w:before="300" w:after="120" w:line="288" w:lineRule="auto"/>
        <w:jc w:val="left"/>
        <w:outlineLvl w:val="2"/>
      </w:pPr>
      <w:bookmarkStart w:id="3" w:name="heading_3"/>
      <w:r>
        <w:rPr>
          <w:rFonts w:ascii="Arial" w:eastAsia="等线" w:hAnsi="Arial" w:cs="Arial"/>
          <w:b/>
          <w:sz w:val="30"/>
        </w:rPr>
        <w:t>2.2</w:t>
      </w:r>
      <w:r>
        <w:rPr>
          <w:rFonts w:ascii="Arial" w:eastAsia="等线" w:hAnsi="Arial" w:cs="Arial"/>
          <w:b/>
          <w:sz w:val="30"/>
        </w:rPr>
        <w:t>水资源状况</w:t>
      </w:r>
      <w:bookmarkEnd w:id="3"/>
    </w:p>
    <w:p w14:paraId="71D547A8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lastRenderedPageBreak/>
        <w:t>本项目所在地地处亚热带季风气候区，属水资源中等富集区域，本地水资源可满足项目基础用水需求，同时过境水资源补充充足，为项目水资源统筹利用提供了良好基础。结合绿色建筑节水要求，本项目不依赖地下水开采，优先利用市政自来水作为主要水源，同步探索非传统水源利用，减少新水消耗，实现水资源循环利用，符合绿色建筑可持续发展理念。</w:t>
      </w:r>
    </w:p>
    <w:p w14:paraId="1E2AFB3C" w14:textId="6E01216D" w:rsidR="00E457F6" w:rsidRDefault="00F577B5">
      <w:pPr>
        <w:spacing w:before="300" w:after="120" w:line="288" w:lineRule="auto"/>
        <w:jc w:val="left"/>
        <w:outlineLvl w:val="2"/>
      </w:pPr>
      <w:bookmarkStart w:id="4" w:name="heading_4"/>
      <w:r>
        <w:rPr>
          <w:rFonts w:ascii="Arial" w:eastAsia="等线" w:hAnsi="Arial" w:cs="Arial"/>
          <w:b/>
          <w:sz w:val="30"/>
        </w:rPr>
        <w:t>2.3</w:t>
      </w:r>
      <w:r>
        <w:rPr>
          <w:rFonts w:ascii="Arial" w:eastAsia="等线" w:hAnsi="Arial" w:cs="Arial"/>
          <w:b/>
          <w:sz w:val="30"/>
        </w:rPr>
        <w:t>气象资料</w:t>
      </w:r>
      <w:bookmarkEnd w:id="4"/>
    </w:p>
    <w:p w14:paraId="71F4E25E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本项目所在地属南亚热带季风气候，气候温和潮湿，温暖多雨、光热充足，年平均气温</w:t>
      </w:r>
      <w:r>
        <w:rPr>
          <w:rFonts w:ascii="Arial" w:eastAsia="等线" w:hAnsi="Arial" w:cs="Arial"/>
          <w:sz w:val="22"/>
        </w:rPr>
        <w:t>21.5~21.9℃</w:t>
      </w:r>
      <w:r>
        <w:rPr>
          <w:rFonts w:ascii="Arial" w:eastAsia="等线" w:hAnsi="Arial" w:cs="Arial"/>
          <w:sz w:val="22"/>
        </w:rPr>
        <w:t>，年平均日照时数</w:t>
      </w:r>
      <w:r>
        <w:rPr>
          <w:rFonts w:ascii="Arial" w:eastAsia="等线" w:hAnsi="Arial" w:cs="Arial"/>
          <w:sz w:val="22"/>
        </w:rPr>
        <w:t>1880~1960</w:t>
      </w:r>
      <w:r>
        <w:rPr>
          <w:rFonts w:ascii="Arial" w:eastAsia="等线" w:hAnsi="Arial" w:cs="Arial"/>
          <w:sz w:val="22"/>
        </w:rPr>
        <w:t>小时，年降水量</w:t>
      </w:r>
      <w:r>
        <w:rPr>
          <w:rFonts w:ascii="Arial" w:eastAsia="等线" w:hAnsi="Arial" w:cs="Arial"/>
          <w:sz w:val="22"/>
        </w:rPr>
        <w:t>1690~1880mm</w:t>
      </w:r>
      <w:r>
        <w:rPr>
          <w:rFonts w:ascii="Arial" w:eastAsia="等线" w:hAnsi="Arial" w:cs="Arial"/>
          <w:sz w:val="22"/>
        </w:rPr>
        <w:t>，雨季（</w:t>
      </w:r>
      <w:r>
        <w:rPr>
          <w:rFonts w:ascii="Arial" w:eastAsia="等线" w:hAnsi="Arial" w:cs="Arial"/>
          <w:sz w:val="22"/>
        </w:rPr>
        <w:t>4~9</w:t>
      </w:r>
      <w:r>
        <w:rPr>
          <w:rFonts w:ascii="Arial" w:eastAsia="等线" w:hAnsi="Arial" w:cs="Arial"/>
          <w:sz w:val="22"/>
        </w:rPr>
        <w:t>月）降水量占全年的</w:t>
      </w:r>
      <w:r>
        <w:rPr>
          <w:rFonts w:ascii="Arial" w:eastAsia="等线" w:hAnsi="Arial" w:cs="Arial"/>
          <w:sz w:val="22"/>
        </w:rPr>
        <w:t>85%</w:t>
      </w:r>
      <w:r>
        <w:rPr>
          <w:rFonts w:ascii="Arial" w:eastAsia="等线" w:hAnsi="Arial" w:cs="Arial"/>
          <w:sz w:val="22"/>
        </w:rPr>
        <w:t>左右，汛期雨量与非汛期雨量差异较大，年平均蒸发量</w:t>
      </w:r>
      <w:r>
        <w:rPr>
          <w:rFonts w:ascii="Arial" w:eastAsia="等线" w:hAnsi="Arial" w:cs="Arial"/>
          <w:sz w:val="22"/>
        </w:rPr>
        <w:t>1100~1200mm</w:t>
      </w:r>
      <w:r>
        <w:rPr>
          <w:rFonts w:ascii="Arial" w:eastAsia="等线" w:hAnsi="Arial" w:cs="Arial"/>
          <w:sz w:val="22"/>
        </w:rPr>
        <w:t>。降水分布特点为夏季集中、冬季偏少，为项目雨水资源收集利用、绿化用水合理调度提供了气象依据，可结合雨季特点优化绿化灌溉计划，减少新水用量。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5"/>
      </w:tblGrid>
      <w:tr w:rsidR="00E457F6" w14:paraId="4AA74F4F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9D2B7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平均年降雨量（</w:t>
            </w:r>
            <w:r>
              <w:rPr>
                <w:rFonts w:ascii="Arial" w:eastAsia="等线" w:hAnsi="Arial" w:cs="Arial"/>
                <w:sz w:val="22"/>
              </w:rPr>
              <w:t>mm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99E6E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3CD26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5FF3F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1EEF9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DA822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5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BFA84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6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</w:tr>
      <w:tr w:rsidR="00E457F6" w14:paraId="4E61B3E1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9A674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1660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79305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39.0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4044C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63.5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9AA76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80.5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1628C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173.0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28851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271.0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86687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274.5</w:t>
            </w:r>
          </w:p>
        </w:tc>
      </w:tr>
      <w:tr w:rsidR="00E457F6" w14:paraId="78627766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3EB01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7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F6CED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226.2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7697EB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224.1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530362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173.0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9A956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72.0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61F6A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35.0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3FDF3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26.5</w:t>
            </w:r>
          </w:p>
        </w:tc>
      </w:tr>
      <w:tr w:rsidR="00936A47" w14:paraId="380B107E" w14:textId="77777777" w:rsidTr="00936A47">
        <w:tc>
          <w:tcPr>
            <w:tcW w:w="8280" w:type="dxa"/>
            <w:gridSpan w:val="7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8B760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注：多年年平均降雨量为</w:t>
            </w:r>
            <w:r>
              <w:rPr>
                <w:rFonts w:ascii="Arial" w:eastAsia="等线" w:hAnsi="Arial" w:cs="Arial"/>
                <w:sz w:val="22"/>
              </w:rPr>
              <w:t>1660mm</w:t>
            </w:r>
            <w:r>
              <w:rPr>
                <w:rFonts w:ascii="Arial" w:eastAsia="等线" w:hAnsi="Arial" w:cs="Arial"/>
                <w:sz w:val="22"/>
              </w:rPr>
              <w:t>，一年一遇降雨量为</w:t>
            </w:r>
            <w:r>
              <w:rPr>
                <w:rFonts w:ascii="Arial" w:eastAsia="等线" w:hAnsi="Arial" w:cs="Arial"/>
                <w:sz w:val="22"/>
              </w:rPr>
              <w:t>52.0mm</w:t>
            </w:r>
            <w:r>
              <w:rPr>
                <w:rFonts w:ascii="Arial" w:eastAsia="等线" w:hAnsi="Arial" w:cs="Arial"/>
                <w:sz w:val="22"/>
              </w:rPr>
              <w:t>。</w:t>
            </w:r>
          </w:p>
        </w:tc>
      </w:tr>
    </w:tbl>
    <w:p w14:paraId="1B84816D" w14:textId="77777777" w:rsidR="00E457F6" w:rsidRDefault="00E457F6"/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5"/>
      </w:tblGrid>
      <w:tr w:rsidR="00E457F6" w14:paraId="2D70D588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65E94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年份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B3D30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B3021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640AB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FAF61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BF259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5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1136D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6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</w:tr>
      <w:tr w:rsidR="00E457F6" w14:paraId="7E53F6F2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BC819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1986-2015</w:t>
            </w:r>
            <w:r>
              <w:rPr>
                <w:rFonts w:ascii="Arial" w:eastAsia="等线" w:hAnsi="Arial" w:cs="Arial"/>
                <w:sz w:val="22"/>
              </w:rPr>
              <w:t>（近</w:t>
            </w:r>
            <w:r>
              <w:rPr>
                <w:rFonts w:ascii="Arial" w:eastAsia="等线" w:hAnsi="Arial" w:cs="Arial"/>
                <w:sz w:val="22"/>
              </w:rPr>
              <w:t>30</w:t>
            </w:r>
            <w:r>
              <w:rPr>
                <w:rFonts w:ascii="Arial" w:eastAsia="等线" w:hAnsi="Arial" w:cs="Arial"/>
                <w:sz w:val="22"/>
              </w:rPr>
              <w:t>年）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6C39C9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96.5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5B7C4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80.0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BAF8A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89.0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E1B7C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106.6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53D4A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141.4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11436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151.7</w:t>
            </w:r>
          </w:p>
        </w:tc>
      </w:tr>
      <w:tr w:rsidR="00E457F6" w14:paraId="78A60354" w14:textId="77777777"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35A00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7</w:t>
            </w:r>
            <w:r>
              <w:rPr>
                <w:rFonts w:ascii="Arial" w:eastAsia="等线" w:hAnsi="Arial" w:cs="Arial"/>
                <w:sz w:val="22"/>
              </w:rPr>
              <w:t>月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48AE4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180.2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52477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171.4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48B5A4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171.0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12FDF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176.1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A5614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132.6</w:t>
            </w:r>
          </w:p>
        </w:tc>
        <w:tc>
          <w:tcPr>
            <w:tcW w:w="118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914F9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112.9</w:t>
            </w:r>
          </w:p>
        </w:tc>
      </w:tr>
    </w:tbl>
    <w:p w14:paraId="13DA9A51" w14:textId="77777777" w:rsidR="00E457F6" w:rsidRDefault="00F577B5">
      <w:pPr>
        <w:spacing w:before="320" w:after="120" w:line="288" w:lineRule="auto"/>
        <w:jc w:val="left"/>
        <w:outlineLvl w:val="1"/>
      </w:pPr>
      <w:bookmarkStart w:id="5" w:name="heading_5"/>
      <w:r>
        <w:rPr>
          <w:rFonts w:ascii="Arial" w:eastAsia="等线" w:hAnsi="Arial" w:cs="Arial"/>
          <w:b/>
          <w:sz w:val="32"/>
        </w:rPr>
        <w:t>三、用水量估算</w:t>
      </w:r>
      <w:bookmarkEnd w:id="5"/>
    </w:p>
    <w:p w14:paraId="445EBF03" w14:textId="53479E15" w:rsidR="00E457F6" w:rsidRDefault="00F577B5">
      <w:pPr>
        <w:spacing w:before="300" w:after="120" w:line="288" w:lineRule="auto"/>
        <w:jc w:val="left"/>
        <w:outlineLvl w:val="2"/>
      </w:pPr>
      <w:bookmarkStart w:id="6" w:name="heading_6"/>
      <w:r>
        <w:rPr>
          <w:rFonts w:ascii="Arial" w:eastAsia="等线" w:hAnsi="Arial" w:cs="Arial"/>
          <w:b/>
          <w:sz w:val="30"/>
        </w:rPr>
        <w:t>3.1</w:t>
      </w:r>
      <w:r>
        <w:rPr>
          <w:rFonts w:ascii="Arial" w:eastAsia="等线" w:hAnsi="Arial" w:cs="Arial"/>
          <w:b/>
          <w:sz w:val="30"/>
        </w:rPr>
        <w:t>用水定额</w:t>
      </w:r>
      <w:bookmarkEnd w:id="6"/>
    </w:p>
    <w:p w14:paraId="01D2A8AA" w14:textId="71C45BB5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本项目平均日生活用水、杂用水节水定额，严格按照《民用建筑节水设计标准》</w:t>
      </w:r>
      <w:r>
        <w:rPr>
          <w:rFonts w:ascii="Arial" w:eastAsia="等线" w:hAnsi="Arial" w:cs="Arial"/>
          <w:sz w:val="22"/>
        </w:rPr>
        <w:t>GB50555-2010</w:t>
      </w:r>
      <w:r>
        <w:rPr>
          <w:rFonts w:ascii="Arial" w:eastAsia="等线" w:hAnsi="Arial" w:cs="Arial"/>
          <w:sz w:val="22"/>
        </w:rPr>
        <w:t>要求，结合项目实际用水场景（生活用水、公共用水、绿化用水）及</w:t>
      </w:r>
      <w:r>
        <w:rPr>
          <w:rFonts w:ascii="Arial" w:eastAsia="等线" w:hAnsi="Arial" w:cs="Arial"/>
          <w:sz w:val="22"/>
        </w:rPr>
        <w:lastRenderedPageBreak/>
        <w:t>绿色建筑比赛节水要求取值，所有用水定额均符合节水标准，同时兼顾用水舒适度，确保用水器具正常使用。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0"/>
        <w:gridCol w:w="1380"/>
        <w:gridCol w:w="1380"/>
        <w:gridCol w:w="1380"/>
        <w:gridCol w:w="1380"/>
        <w:gridCol w:w="1380"/>
      </w:tblGrid>
      <w:tr w:rsidR="00E457F6" w14:paraId="4FFCB614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9D3BA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序号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07455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建筑类型及卫生器具设置标准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FC4E9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节水用水定额（</w:t>
            </w:r>
            <w:proofErr w:type="spellStart"/>
            <w:r>
              <w:rPr>
                <w:rFonts w:ascii="Arial" w:eastAsia="等线" w:hAnsi="Arial" w:cs="Arial"/>
                <w:sz w:val="22"/>
              </w:rPr>
              <w:t>qg</w:t>
            </w:r>
            <w:proofErr w:type="spellEnd"/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5F33A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单位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4D1D6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本项目取值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6DD7C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备注</w:t>
            </w:r>
          </w:p>
        </w:tc>
      </w:tr>
      <w:tr w:rsidR="00E457F6" w14:paraId="2C9C6D2D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E1F89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0B15E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居民生活用水（配套节水型卫生器具）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853C5E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80-100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DB6B4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人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AE9BFE" w14:textId="14FF1136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90L/</w:t>
            </w:r>
            <w:r>
              <w:rPr>
                <w:rFonts w:ascii="Arial" w:eastAsia="等线" w:hAnsi="Arial" w:cs="Arial"/>
                <w:sz w:val="22"/>
              </w:rPr>
              <w:t>人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A3310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符合</w:t>
            </w:r>
            <w:r>
              <w:rPr>
                <w:rFonts w:ascii="Arial" w:eastAsia="等线" w:hAnsi="Arial" w:cs="Arial"/>
                <w:sz w:val="22"/>
              </w:rPr>
              <w:t>GB/T18870</w:t>
            </w:r>
            <w:r>
              <w:rPr>
                <w:rFonts w:ascii="Arial" w:eastAsia="等线" w:hAnsi="Arial" w:cs="Arial"/>
                <w:sz w:val="22"/>
              </w:rPr>
              <w:t>要求，用水器具为节水型</w:t>
            </w:r>
          </w:p>
        </w:tc>
      </w:tr>
      <w:tr w:rsidR="00E457F6" w14:paraId="067F71A6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15217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B12B4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公共用水（公共卫生间、走廊保洁）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D5BE8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15-25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FAE6F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7B1B67" w14:textId="1844122C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20L/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D6E79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含公共区域清洁、卫生间用水</w:t>
            </w:r>
          </w:p>
        </w:tc>
      </w:tr>
      <w:tr w:rsidR="00E457F6" w14:paraId="03A085D2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37AAB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9CC93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绿化用水（室外绿化灌溉）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DF407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2-3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B8925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D1B765" w14:textId="0679D564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2.5L/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75573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结合气象条件，雨季可减少灌溉量</w:t>
            </w:r>
          </w:p>
        </w:tc>
      </w:tr>
    </w:tbl>
    <w:p w14:paraId="403A87DB" w14:textId="0AFC01AC" w:rsidR="00E457F6" w:rsidRDefault="00F577B5">
      <w:pPr>
        <w:spacing w:before="300" w:after="120" w:line="288" w:lineRule="auto"/>
        <w:jc w:val="left"/>
        <w:outlineLvl w:val="2"/>
      </w:pPr>
      <w:bookmarkStart w:id="7" w:name="heading_7"/>
      <w:r>
        <w:rPr>
          <w:rFonts w:ascii="Arial" w:eastAsia="等线" w:hAnsi="Arial" w:cs="Arial"/>
          <w:b/>
          <w:sz w:val="30"/>
        </w:rPr>
        <w:t>3.2</w:t>
      </w:r>
      <w:r>
        <w:rPr>
          <w:rFonts w:ascii="Arial" w:eastAsia="等线" w:hAnsi="Arial" w:cs="Arial"/>
          <w:b/>
          <w:sz w:val="30"/>
        </w:rPr>
        <w:t>用水量估算</w:t>
      </w:r>
      <w:bookmarkEnd w:id="7"/>
    </w:p>
    <w:p w14:paraId="207AA9BD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本项目用水量估算基于上述用水定额，结合项目实际用水单元数量、用水频率，分类型计算年用水量，同时预留合理波动空间，确保估算数据科学、准确，为水资源统筹利用及节水管理提供依据。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</w:tblGrid>
      <w:tr w:rsidR="00E457F6" w14:paraId="4A017379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CE6E9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序号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75297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用水类别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C3895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数量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78149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单位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BB8E4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用水定额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4CDE1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单位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F175C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用水频率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3FD6B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单位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1DF82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年用水量（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C52AA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备注</w:t>
            </w:r>
          </w:p>
        </w:tc>
      </w:tr>
      <w:tr w:rsidR="00E457F6" w14:paraId="43FD89E1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B7D51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763E3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生活用水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3E085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100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D3DB1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人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87B14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90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A8E10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人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CDF3D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365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10ED6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6F6D6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3285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C4765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含居民日常用水，用水器具</w:t>
            </w:r>
            <w:r>
              <w:rPr>
                <w:rFonts w:ascii="Arial" w:eastAsia="等线" w:hAnsi="Arial" w:cs="Arial"/>
                <w:sz w:val="22"/>
              </w:rPr>
              <w:lastRenderedPageBreak/>
              <w:t>为节水型</w:t>
            </w:r>
          </w:p>
        </w:tc>
      </w:tr>
      <w:tr w:rsidR="00E457F6" w14:paraId="15C09286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9F4A2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lastRenderedPageBreak/>
              <w:t>2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EC12E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公共用水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9E213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200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6D8AD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㎡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73E24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BC698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2A230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365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8FD25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84150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1460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28E40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公共卫生间、走廊保洁用水</w:t>
            </w:r>
          </w:p>
        </w:tc>
      </w:tr>
      <w:tr w:rsidR="00E457F6" w14:paraId="28195C26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C1D81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8B2FF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绿化用水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BCC3A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2000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AA566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㎡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C1868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2.5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5201F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L/</w:t>
            </w:r>
            <w:r>
              <w:rPr>
                <w:rFonts w:ascii="Arial" w:eastAsia="等线" w:hAnsi="Arial" w:cs="Arial"/>
                <w:sz w:val="22"/>
              </w:rPr>
              <w:t>㎡</w:t>
            </w:r>
            <w:r>
              <w:rPr>
                <w:rFonts w:ascii="Arial" w:eastAsia="等线" w:hAnsi="Arial" w:cs="Arial"/>
                <w:sz w:val="22"/>
              </w:rPr>
              <w:t>·d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2156C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240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70B4DD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d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B6DFE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1200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B8080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室外绿化灌溉，雨季可减少灌溉天数</w:t>
            </w:r>
          </w:p>
        </w:tc>
      </w:tr>
      <w:tr w:rsidR="00E457F6" w14:paraId="73E9D0EE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F0E29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318AF5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杂用水合计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AC933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98D0B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8BE29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781444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243EC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89A8A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18878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1200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13427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仅绿化用水，后续可增加雨水利用补充</w:t>
            </w:r>
          </w:p>
        </w:tc>
      </w:tr>
      <w:tr w:rsidR="00E457F6" w14:paraId="317FF083" w14:textId="77777777"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01247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E183C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总用水合计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898EA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832BEA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C9655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425FF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67CBD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03B36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-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07188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5945</w:t>
            </w:r>
          </w:p>
        </w:tc>
        <w:tc>
          <w:tcPr>
            <w:tcW w:w="82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454BF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含生活、公共、绿化用水，不含非传</w:t>
            </w:r>
            <w:r>
              <w:rPr>
                <w:rFonts w:ascii="Arial" w:eastAsia="等线" w:hAnsi="Arial" w:cs="Arial"/>
                <w:sz w:val="22"/>
              </w:rPr>
              <w:lastRenderedPageBreak/>
              <w:t>统水源利用</w:t>
            </w:r>
          </w:p>
        </w:tc>
      </w:tr>
    </w:tbl>
    <w:p w14:paraId="143AAAC2" w14:textId="77777777" w:rsidR="00E457F6" w:rsidRDefault="00F577B5">
      <w:pPr>
        <w:spacing w:before="320" w:after="120" w:line="288" w:lineRule="auto"/>
        <w:jc w:val="left"/>
        <w:outlineLvl w:val="1"/>
      </w:pPr>
      <w:bookmarkStart w:id="8" w:name="heading_8"/>
      <w:r>
        <w:rPr>
          <w:rFonts w:ascii="Arial" w:eastAsia="等线" w:hAnsi="Arial" w:cs="Arial"/>
          <w:b/>
          <w:sz w:val="32"/>
        </w:rPr>
        <w:lastRenderedPageBreak/>
        <w:t>四、节水策略</w:t>
      </w:r>
      <w:bookmarkEnd w:id="8"/>
    </w:p>
    <w:p w14:paraId="29B58DCC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结合绿色建筑比赛条文要求及项目实际，制定针对性节水策略，重点落实用水计量、减压设施设置、节水器具选用三大核心要求，同时强化管网管理、优化用水调度，全面提升节水效果，具体如下：</w:t>
      </w:r>
    </w:p>
    <w:p w14:paraId="350DA33A" w14:textId="50271E36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严格落实用水计量要求：按使用用途（生活用水、公共用水、绿化用水）、管理单元（居民生活用水区、公共用水区、绿化灌溉区）分别设置用水计量装置，选用符合标准的远传水表（</w:t>
      </w:r>
      <w:r>
        <w:rPr>
          <w:rFonts w:ascii="Arial" w:eastAsia="等线" w:hAnsi="Arial" w:cs="Arial"/>
          <w:sz w:val="22"/>
        </w:rPr>
        <w:t>LXSY-15DN15</w:t>
      </w:r>
      <w:r>
        <w:rPr>
          <w:rFonts w:ascii="Arial" w:eastAsia="等线" w:hAnsi="Arial" w:cs="Arial"/>
          <w:sz w:val="22"/>
        </w:rPr>
        <w:t>、</w:t>
      </w:r>
      <w:r>
        <w:rPr>
          <w:rFonts w:ascii="Arial" w:eastAsia="等线" w:hAnsi="Arial" w:cs="Arial"/>
          <w:sz w:val="22"/>
        </w:rPr>
        <w:t>LXSY-25DN25</w:t>
      </w:r>
      <w:r>
        <w:rPr>
          <w:rFonts w:ascii="Arial" w:eastAsia="等线" w:hAnsi="Arial" w:cs="Arial"/>
          <w:sz w:val="22"/>
        </w:rPr>
        <w:t>，</w:t>
      </w: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级精度），实现用水数据实时远传、精准统计，确保每类用水可监测、可追溯，符合比赛条文第</w:t>
      </w: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条规定。</w:t>
      </w:r>
    </w:p>
    <w:p w14:paraId="673BB2EC" w14:textId="3D76AB08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规范减压设施设置：对用水点处水压大于</w:t>
      </w:r>
      <w:r>
        <w:rPr>
          <w:rFonts w:ascii="Arial" w:eastAsia="等线" w:hAnsi="Arial" w:cs="Arial"/>
          <w:sz w:val="22"/>
        </w:rPr>
        <w:t>0.2MPa</w:t>
      </w:r>
      <w:r>
        <w:rPr>
          <w:rFonts w:ascii="Arial" w:eastAsia="等线" w:hAnsi="Arial" w:cs="Arial"/>
          <w:sz w:val="22"/>
        </w:rPr>
        <w:t>的配水支管，全部设置减压设施（减压阀、减压孔板），根据用水器具最低工作压力要求，精准调节水压，确保水压稳定在</w:t>
      </w:r>
      <w:r>
        <w:rPr>
          <w:rFonts w:ascii="Arial" w:eastAsia="等线" w:hAnsi="Arial" w:cs="Arial"/>
          <w:sz w:val="22"/>
        </w:rPr>
        <w:t>0.1~0.2MPa</w:t>
      </w:r>
      <w:r>
        <w:rPr>
          <w:rFonts w:ascii="Arial" w:eastAsia="等线" w:hAnsi="Arial" w:cs="Arial"/>
          <w:sz w:val="22"/>
        </w:rPr>
        <w:t>之间，既满足用水器具正常使用需求，又避免水压过高造成水资源浪费，符合比赛条文第</w:t>
      </w: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条规定。</w:t>
      </w:r>
    </w:p>
    <w:p w14:paraId="784BF32E" w14:textId="7948E69D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选用合格节水型器具：所有用水器具和设备均严格遵循现行国家标准《节水型产品通用技术条件》</w:t>
      </w:r>
      <w:r>
        <w:rPr>
          <w:rFonts w:ascii="Arial" w:eastAsia="等线" w:hAnsi="Arial" w:cs="Arial"/>
          <w:sz w:val="22"/>
        </w:rPr>
        <w:t>GB/T18870</w:t>
      </w:r>
      <w:r>
        <w:rPr>
          <w:rFonts w:ascii="Arial" w:eastAsia="等线" w:hAnsi="Arial" w:cs="Arial"/>
          <w:sz w:val="22"/>
        </w:rPr>
        <w:t>的要求，优先选用节水型马桶、节水型水龙头、节水型淋浴器等产品，同时选用密闭性能好的阀门、设备（软密封闸阀或蝶阀），减少管网漏损，符合比赛条文第</w:t>
      </w: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条规定。</w:t>
      </w:r>
    </w:p>
    <w:p w14:paraId="14BD17B0" w14:textId="0A472D49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4.</w:t>
      </w:r>
      <w:r>
        <w:rPr>
          <w:rFonts w:ascii="Arial" w:eastAsia="等线" w:hAnsi="Arial" w:cs="Arial"/>
          <w:sz w:val="22"/>
        </w:rPr>
        <w:t>强化管网漏损控制：室外埋地管道采取防腐、防破损保护措施，定期开展管网漏损检测（每月至少</w:t>
      </w: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次专项检测），建立漏损预警机制，发现漏损及时整改，确保管网漏损率持续低于</w:t>
      </w:r>
      <w:r>
        <w:rPr>
          <w:rFonts w:ascii="Arial" w:eastAsia="等线" w:hAnsi="Arial" w:cs="Arial"/>
          <w:sz w:val="22"/>
        </w:rPr>
        <w:t>5%</w:t>
      </w:r>
      <w:r>
        <w:rPr>
          <w:rFonts w:ascii="Arial" w:eastAsia="等线" w:hAnsi="Arial" w:cs="Arial"/>
          <w:sz w:val="22"/>
        </w:rPr>
        <w:t>，进一步降低水资源浪费。</w:t>
      </w:r>
    </w:p>
    <w:p w14:paraId="354264AC" w14:textId="27CB80A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5.</w:t>
      </w:r>
      <w:r>
        <w:rPr>
          <w:rFonts w:ascii="Arial" w:eastAsia="等线" w:hAnsi="Arial" w:cs="Arial"/>
          <w:sz w:val="22"/>
        </w:rPr>
        <w:t>优化用水调度管理：结合气象条件，合理调整绿化灌溉时间（避开高温蒸发时段），雨季充分利用自然降水，减少绿化新水用量；公共用水实行分时段管控，避免水资源闲置浪费；生活用水加强宣传引导，倡导节约用水。</w:t>
      </w:r>
    </w:p>
    <w:p w14:paraId="4F1CFAFE" w14:textId="1176036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6.</w:t>
      </w:r>
      <w:r>
        <w:rPr>
          <w:rFonts w:ascii="Arial" w:eastAsia="等线" w:hAnsi="Arial" w:cs="Arial"/>
          <w:sz w:val="22"/>
        </w:rPr>
        <w:t>选用优质管材配件：采用不锈钢管、钢塑复合管等耐腐蚀、不易老化的管材，管材与管件连接选用卫生、严密、耐压、耐久的密封材料，延长管道使用寿命，减少管道漏水、渗水问题，降低水资源损耗和维护成本。</w:t>
      </w:r>
    </w:p>
    <w:p w14:paraId="25D5BA51" w14:textId="77777777" w:rsidR="00E457F6" w:rsidRDefault="00F577B5">
      <w:pPr>
        <w:spacing w:before="320" w:after="120" w:line="288" w:lineRule="auto"/>
        <w:jc w:val="left"/>
        <w:outlineLvl w:val="1"/>
      </w:pPr>
      <w:bookmarkStart w:id="9" w:name="heading_9"/>
      <w:r>
        <w:rPr>
          <w:rFonts w:ascii="Arial" w:eastAsia="等线" w:hAnsi="Arial" w:cs="Arial"/>
          <w:b/>
          <w:sz w:val="32"/>
        </w:rPr>
        <w:t>五、给排水系统设计方案</w:t>
      </w:r>
      <w:bookmarkEnd w:id="9"/>
    </w:p>
    <w:p w14:paraId="13597950" w14:textId="776D53F7" w:rsidR="00E457F6" w:rsidRDefault="00F577B5">
      <w:pPr>
        <w:spacing w:before="300" w:after="120" w:line="288" w:lineRule="auto"/>
        <w:jc w:val="left"/>
        <w:outlineLvl w:val="2"/>
      </w:pPr>
      <w:bookmarkStart w:id="10" w:name="heading_10"/>
      <w:r>
        <w:rPr>
          <w:rFonts w:ascii="Arial" w:eastAsia="等线" w:hAnsi="Arial" w:cs="Arial"/>
          <w:b/>
          <w:sz w:val="30"/>
        </w:rPr>
        <w:t>5.1</w:t>
      </w:r>
      <w:r>
        <w:rPr>
          <w:rFonts w:ascii="Arial" w:eastAsia="等线" w:hAnsi="Arial" w:cs="Arial"/>
          <w:b/>
          <w:sz w:val="30"/>
        </w:rPr>
        <w:t>生活给水系统</w:t>
      </w:r>
      <w:bookmarkEnd w:id="10"/>
    </w:p>
    <w:p w14:paraId="6A8FBB44" w14:textId="14404DEF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）水源：优先利用市政给水管网作为主要生活水源，水质符合</w:t>
      </w:r>
      <w:r>
        <w:rPr>
          <w:rFonts w:ascii="Arial" w:eastAsia="等线" w:hAnsi="Arial" w:cs="Arial"/>
          <w:sz w:val="22"/>
        </w:rPr>
        <w:t>GB5749-2022</w:t>
      </w:r>
      <w:r>
        <w:rPr>
          <w:rFonts w:ascii="Arial" w:eastAsia="等线" w:hAnsi="Arial" w:cs="Arial"/>
          <w:sz w:val="22"/>
        </w:rPr>
        <w:t>《生活饮用水卫生标准》，不开采地下水，确保水源安全、稳定。</w:t>
      </w:r>
    </w:p>
    <w:p w14:paraId="27100B4D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lastRenderedPageBreak/>
        <w:t>2</w:t>
      </w:r>
      <w:r>
        <w:rPr>
          <w:rFonts w:ascii="Arial" w:eastAsia="等线" w:hAnsi="Arial" w:cs="Arial"/>
          <w:sz w:val="22"/>
        </w:rPr>
        <w:t>）供水分区：根据项目建筑布局及用水需求，分为居民生活用水区、公共用水区、绿化</w:t>
      </w:r>
      <w:proofErr w:type="gramStart"/>
      <w:r>
        <w:rPr>
          <w:rFonts w:ascii="Arial" w:eastAsia="等线" w:hAnsi="Arial" w:cs="Arial"/>
          <w:sz w:val="22"/>
        </w:rPr>
        <w:t>用水区</w:t>
      </w:r>
      <w:proofErr w:type="gramEnd"/>
      <w:r>
        <w:rPr>
          <w:rFonts w:ascii="Arial" w:eastAsia="等线" w:hAnsi="Arial" w:cs="Arial"/>
          <w:sz w:val="22"/>
        </w:rPr>
        <w:t>三个供水分区，每个分区独立供水，便于分类计量和管理，落实比赛条文第</w:t>
      </w:r>
      <w:r>
        <w:rPr>
          <w:rFonts w:ascii="Arial" w:eastAsia="等线" w:hAnsi="Arial" w:cs="Arial"/>
          <w:sz w:val="22"/>
        </w:rPr>
        <w:t>1</w:t>
      </w:r>
      <w:r>
        <w:rPr>
          <w:rFonts w:ascii="Arial" w:eastAsia="等线" w:hAnsi="Arial" w:cs="Arial"/>
          <w:sz w:val="22"/>
        </w:rPr>
        <w:t>条要求。</w:t>
      </w:r>
    </w:p>
    <w:p w14:paraId="2D8E5C85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）减压措施：在各供水分区配水支管上，对水压大于</w:t>
      </w:r>
      <w:r>
        <w:rPr>
          <w:rFonts w:ascii="Arial" w:eastAsia="等线" w:hAnsi="Arial" w:cs="Arial"/>
          <w:sz w:val="22"/>
        </w:rPr>
        <w:t>0.2MPa</w:t>
      </w:r>
      <w:r>
        <w:rPr>
          <w:rFonts w:ascii="Arial" w:eastAsia="等线" w:hAnsi="Arial" w:cs="Arial"/>
          <w:sz w:val="22"/>
        </w:rPr>
        <w:t>的部位，均设置减压阀，精准调节水压至</w:t>
      </w:r>
      <w:r>
        <w:rPr>
          <w:rFonts w:ascii="Arial" w:eastAsia="等线" w:hAnsi="Arial" w:cs="Arial"/>
          <w:sz w:val="22"/>
        </w:rPr>
        <w:t>0.1~0.2MPa</w:t>
      </w:r>
      <w:r>
        <w:rPr>
          <w:rFonts w:ascii="Arial" w:eastAsia="等线" w:hAnsi="Arial" w:cs="Arial"/>
          <w:sz w:val="22"/>
        </w:rPr>
        <w:t>，满足用水器具最低工作压力要求，同时避免水压过高导致的水资源浪费和管道损坏，落实比赛条文第</w:t>
      </w: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条要求。</w:t>
      </w:r>
    </w:p>
    <w:p w14:paraId="49802219" w14:textId="01FA83F9" w:rsidR="00E457F6" w:rsidRDefault="00F577B5">
      <w:pPr>
        <w:spacing w:before="300" w:after="120" w:line="288" w:lineRule="auto"/>
        <w:jc w:val="left"/>
        <w:outlineLvl w:val="2"/>
      </w:pPr>
      <w:bookmarkStart w:id="11" w:name="heading_11"/>
      <w:r>
        <w:rPr>
          <w:rFonts w:ascii="Arial" w:eastAsia="等线" w:hAnsi="Arial" w:cs="Arial"/>
          <w:b/>
          <w:sz w:val="30"/>
        </w:rPr>
        <w:t>5.2</w:t>
      </w:r>
      <w:r>
        <w:rPr>
          <w:rFonts w:ascii="Arial" w:eastAsia="等线" w:hAnsi="Arial" w:cs="Arial"/>
          <w:b/>
          <w:sz w:val="30"/>
        </w:rPr>
        <w:t>生活排水系统</w:t>
      </w:r>
      <w:bookmarkEnd w:id="11"/>
    </w:p>
    <w:p w14:paraId="53A8F35F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生活排水系统采用分流制设计，生活污水（卫生间污水、厨房污水）经管道收集后，接入市政污水处理管网，经处理达标后排放；生活废水（洗漱废水、阳台排水）经收集后，部分处理后用于绿化灌溉（非传统水源利用），实现水资源循环利用，减少废水排放量，提升水资源利用效率。排水管道选用耐腐蚀管材，接口密封严密，避免渗漏污染。</w:t>
      </w:r>
    </w:p>
    <w:p w14:paraId="138D58A2" w14:textId="40B5CFCE" w:rsidR="00E457F6" w:rsidRDefault="00F577B5">
      <w:pPr>
        <w:spacing w:before="300" w:after="120" w:line="288" w:lineRule="auto"/>
        <w:jc w:val="left"/>
        <w:outlineLvl w:val="2"/>
      </w:pPr>
      <w:bookmarkStart w:id="12" w:name="heading_12"/>
      <w:r>
        <w:rPr>
          <w:rFonts w:ascii="Arial" w:eastAsia="等线" w:hAnsi="Arial" w:cs="Arial"/>
          <w:b/>
          <w:sz w:val="30"/>
        </w:rPr>
        <w:t>5.3</w:t>
      </w:r>
      <w:r>
        <w:rPr>
          <w:rFonts w:ascii="Arial" w:eastAsia="等线" w:hAnsi="Arial" w:cs="Arial"/>
          <w:b/>
          <w:sz w:val="30"/>
        </w:rPr>
        <w:t>雨水排水系统</w:t>
      </w:r>
      <w:bookmarkEnd w:id="12"/>
    </w:p>
    <w:p w14:paraId="308DFF84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结合项目气象条件，设置雨水收集系统，收集屋面、路面雨水，经沉淀、过滤、消毒等处理后，用于绿化灌溉、道路浇洒等杂用水，补充绿化用水需求，减少新水消耗。雨水排水管道采用重力流设计，确保雨水排放顺畅，避免积水；同时设置雨水储存池，储存雨季多余雨水，用于非雨季绿化灌溉，实现雨水资源的合理利用。</w:t>
      </w:r>
    </w:p>
    <w:p w14:paraId="52903B6D" w14:textId="52ED1864" w:rsidR="00E457F6" w:rsidRDefault="00F577B5">
      <w:pPr>
        <w:spacing w:before="300" w:after="120" w:line="288" w:lineRule="auto"/>
        <w:jc w:val="left"/>
        <w:outlineLvl w:val="2"/>
      </w:pPr>
      <w:bookmarkStart w:id="13" w:name="heading_13"/>
      <w:r>
        <w:rPr>
          <w:rFonts w:ascii="Arial" w:eastAsia="等线" w:hAnsi="Arial" w:cs="Arial"/>
          <w:b/>
          <w:sz w:val="30"/>
        </w:rPr>
        <w:t>5.4</w:t>
      </w:r>
      <w:r>
        <w:rPr>
          <w:rFonts w:ascii="Arial" w:eastAsia="等线" w:hAnsi="Arial" w:cs="Arial"/>
          <w:b/>
          <w:sz w:val="30"/>
        </w:rPr>
        <w:t>管材与配件</w:t>
      </w:r>
      <w:bookmarkEnd w:id="13"/>
    </w:p>
    <w:p w14:paraId="0244A196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根据不同管道用途及安装部位，选用符合标准、耐腐蚀、密封性能好的管材及配件，确保管道运行稳定，减少漏损，具体如下表：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0"/>
        <w:gridCol w:w="1380"/>
        <w:gridCol w:w="1380"/>
        <w:gridCol w:w="1380"/>
        <w:gridCol w:w="1380"/>
        <w:gridCol w:w="1380"/>
      </w:tblGrid>
      <w:tr w:rsidR="00E457F6" w14:paraId="21EA61A6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F7BAE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管道名称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CB023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安装部位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21134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管材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EE85E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连接方式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94D93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工作压力（</w:t>
            </w:r>
            <w:r>
              <w:rPr>
                <w:rFonts w:ascii="Arial" w:eastAsia="等线" w:hAnsi="Arial" w:cs="Arial"/>
                <w:sz w:val="22"/>
              </w:rPr>
              <w:t>MPa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5D35E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备注</w:t>
            </w:r>
          </w:p>
        </w:tc>
      </w:tr>
      <w:tr w:rsidR="00E457F6" w14:paraId="1C97344B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7B0D8A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生活给水管道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742CC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室内、室外供水管网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E5906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不锈钢管、钢塑复合管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E274C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螺纹连接、法兰连接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A78FB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0.2~0.4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41A65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耐腐蚀、不易老化，密封性能好</w:t>
            </w:r>
          </w:p>
        </w:tc>
      </w:tr>
      <w:tr w:rsidR="00E457F6" w14:paraId="008DEC35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BDEF2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生活排水管道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8D413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室内、室外排水管网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0C2A9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UPVC</w:t>
            </w:r>
            <w:r>
              <w:rPr>
                <w:rFonts w:ascii="Arial" w:eastAsia="等线" w:hAnsi="Arial" w:cs="Arial"/>
                <w:sz w:val="22"/>
              </w:rPr>
              <w:t>排水管、铸铁排水管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CB62A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粘接、承插连接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94CBE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0.1~0.2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5E527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耐腐蚀、排水顺畅</w:t>
            </w:r>
          </w:p>
        </w:tc>
      </w:tr>
      <w:tr w:rsidR="00E457F6" w14:paraId="02FF79E9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AB6C5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雨水管道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68438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屋面、路面雨水收集及</w:t>
            </w:r>
            <w:r>
              <w:rPr>
                <w:rFonts w:ascii="Arial" w:eastAsia="等线" w:hAnsi="Arial" w:cs="Arial"/>
                <w:sz w:val="22"/>
              </w:rPr>
              <w:lastRenderedPageBreak/>
              <w:t>排放管网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F4B73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lastRenderedPageBreak/>
              <w:t>HDPE</w:t>
            </w:r>
            <w:r>
              <w:rPr>
                <w:rFonts w:ascii="Arial" w:eastAsia="等线" w:hAnsi="Arial" w:cs="Arial"/>
                <w:sz w:val="22"/>
              </w:rPr>
              <w:t>双壁波纹管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2592E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承插连接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8133D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0.1~0.3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AE47A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抗冲击、耐腐蚀，适合</w:t>
            </w:r>
            <w:r>
              <w:rPr>
                <w:rFonts w:ascii="Arial" w:eastAsia="等线" w:hAnsi="Arial" w:cs="Arial"/>
                <w:sz w:val="22"/>
              </w:rPr>
              <w:lastRenderedPageBreak/>
              <w:t>室外使用</w:t>
            </w:r>
          </w:p>
        </w:tc>
      </w:tr>
      <w:tr w:rsidR="00E457F6" w14:paraId="6A2F7842" w14:textId="77777777"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F4818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lastRenderedPageBreak/>
              <w:t>绿化用水管道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195C5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室外绿化灌溉管网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F7D5E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PE</w:t>
            </w:r>
            <w:r>
              <w:rPr>
                <w:rFonts w:ascii="Arial" w:eastAsia="等线" w:hAnsi="Arial" w:cs="Arial"/>
                <w:sz w:val="22"/>
              </w:rPr>
              <w:t>管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D62BD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热熔连接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5D2CB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0.1~0.2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89AFF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轻便、耐腐蚀，便于铺设</w:t>
            </w:r>
          </w:p>
        </w:tc>
      </w:tr>
    </w:tbl>
    <w:p w14:paraId="3A255DAA" w14:textId="4152D693" w:rsidR="00E457F6" w:rsidRDefault="00F577B5">
      <w:pPr>
        <w:spacing w:before="300" w:after="120" w:line="288" w:lineRule="auto"/>
        <w:jc w:val="left"/>
        <w:outlineLvl w:val="2"/>
      </w:pPr>
      <w:bookmarkStart w:id="14" w:name="heading_14"/>
      <w:r>
        <w:rPr>
          <w:rFonts w:ascii="Arial" w:eastAsia="等线" w:hAnsi="Arial" w:cs="Arial"/>
          <w:b/>
          <w:sz w:val="30"/>
        </w:rPr>
        <w:t>5.5</w:t>
      </w:r>
      <w:r>
        <w:rPr>
          <w:rFonts w:ascii="Arial" w:eastAsia="等线" w:hAnsi="Arial" w:cs="Arial"/>
          <w:b/>
          <w:sz w:val="30"/>
        </w:rPr>
        <w:t>阀门及附件</w:t>
      </w:r>
      <w:bookmarkEnd w:id="14"/>
    </w:p>
    <w:p w14:paraId="46871F12" w14:textId="2371F392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本项目阀门及附件选用符合国家节水标准、密封性能好、操作便捷的产品，具体选用情况如下：</w:t>
      </w: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给水系统优先采用软密封闸阀、蝶阀，确保密闭性能，减少管网漏损；</w:t>
      </w: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配水支管水压大于</w:t>
      </w:r>
      <w:r>
        <w:rPr>
          <w:rFonts w:ascii="Arial" w:eastAsia="等线" w:hAnsi="Arial" w:cs="Arial"/>
          <w:sz w:val="22"/>
        </w:rPr>
        <w:t>0.2MPa</w:t>
      </w:r>
      <w:r>
        <w:rPr>
          <w:rFonts w:ascii="Arial" w:eastAsia="等线" w:hAnsi="Arial" w:cs="Arial"/>
          <w:sz w:val="22"/>
        </w:rPr>
        <w:t>的部位，选用可调式减压阀，精准调节水压，满足比赛条文第</w:t>
      </w:r>
      <w:r>
        <w:rPr>
          <w:rFonts w:ascii="Arial" w:eastAsia="等线" w:hAnsi="Arial" w:cs="Arial"/>
          <w:sz w:val="22"/>
        </w:rPr>
        <w:t>2</w:t>
      </w:r>
      <w:r>
        <w:rPr>
          <w:rFonts w:ascii="Arial" w:eastAsia="等线" w:hAnsi="Arial" w:cs="Arial"/>
          <w:sz w:val="22"/>
        </w:rPr>
        <w:t>条要求；</w:t>
      </w: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各用水分区、计量节点设置截止阀，便于检修和水量控制；</w:t>
      </w:r>
      <w:r>
        <w:rPr>
          <w:rFonts w:ascii="Arial" w:eastAsia="等线" w:hAnsi="Arial" w:cs="Arial"/>
          <w:sz w:val="22"/>
        </w:rPr>
        <w:t>4.</w:t>
      </w:r>
      <w:r>
        <w:rPr>
          <w:rFonts w:ascii="Arial" w:eastAsia="等线" w:hAnsi="Arial" w:cs="Arial"/>
          <w:sz w:val="22"/>
        </w:rPr>
        <w:t>安装水表前设置过滤器，防止杂质堵塞水表，确保计量精度；</w:t>
      </w:r>
      <w:r>
        <w:rPr>
          <w:rFonts w:ascii="Arial" w:eastAsia="等线" w:hAnsi="Arial" w:cs="Arial"/>
          <w:sz w:val="22"/>
        </w:rPr>
        <w:t>5.</w:t>
      </w:r>
      <w:r>
        <w:rPr>
          <w:rFonts w:ascii="Arial" w:eastAsia="等线" w:hAnsi="Arial" w:cs="Arial"/>
          <w:sz w:val="22"/>
        </w:rPr>
        <w:t>排水管道设置检查口、清扫口，便于管道维护和疏通。</w:t>
      </w:r>
    </w:p>
    <w:p w14:paraId="48BFC6FC" w14:textId="6599F091" w:rsidR="00E457F6" w:rsidRDefault="00F577B5">
      <w:pPr>
        <w:spacing w:before="300" w:after="120" w:line="288" w:lineRule="auto"/>
        <w:jc w:val="left"/>
        <w:outlineLvl w:val="2"/>
      </w:pPr>
      <w:bookmarkStart w:id="15" w:name="heading_15"/>
      <w:r>
        <w:rPr>
          <w:rFonts w:ascii="Arial" w:eastAsia="等线" w:hAnsi="Arial" w:cs="Arial"/>
          <w:b/>
          <w:sz w:val="30"/>
        </w:rPr>
        <w:t>5.6</w:t>
      </w:r>
      <w:r>
        <w:rPr>
          <w:rFonts w:ascii="Arial" w:eastAsia="等线" w:hAnsi="Arial" w:cs="Arial"/>
          <w:b/>
          <w:sz w:val="30"/>
        </w:rPr>
        <w:t>卫生洁具及附件</w:t>
      </w:r>
      <w:bookmarkEnd w:id="15"/>
    </w:p>
    <w:p w14:paraId="00419C66" w14:textId="2FE16FB5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所有卫生洁具及附件均严格满足现行国家标准《节水型产品通用技术条件》</w:t>
      </w:r>
      <w:r>
        <w:rPr>
          <w:rFonts w:ascii="Arial" w:eastAsia="等线" w:hAnsi="Arial" w:cs="Arial"/>
          <w:sz w:val="22"/>
        </w:rPr>
        <w:t>GB/T18870</w:t>
      </w:r>
      <w:r>
        <w:rPr>
          <w:rFonts w:ascii="Arial" w:eastAsia="等线" w:hAnsi="Arial" w:cs="Arial"/>
          <w:sz w:val="22"/>
        </w:rPr>
        <w:t>的要求，落实比赛条文第</w:t>
      </w:r>
      <w:r>
        <w:rPr>
          <w:rFonts w:ascii="Arial" w:eastAsia="等线" w:hAnsi="Arial" w:cs="Arial"/>
          <w:sz w:val="22"/>
        </w:rPr>
        <w:t>3</w:t>
      </w:r>
      <w:r>
        <w:rPr>
          <w:rFonts w:ascii="Arial" w:eastAsia="等线" w:hAnsi="Arial" w:cs="Arial"/>
          <w:sz w:val="22"/>
        </w:rPr>
        <w:t>条规定，具体选用如下：</w:t>
      </w: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卫生间选用节水型马桶（冲水量</w:t>
      </w:r>
      <w:r>
        <w:rPr>
          <w:rFonts w:ascii="Arial" w:eastAsia="等线" w:hAnsi="Arial" w:cs="Arial"/>
          <w:sz w:val="22"/>
        </w:rPr>
        <w:t>≤6L/</w:t>
      </w:r>
      <w:r>
        <w:rPr>
          <w:rFonts w:ascii="Arial" w:eastAsia="等线" w:hAnsi="Arial" w:cs="Arial"/>
          <w:sz w:val="22"/>
        </w:rPr>
        <w:t>次），配备节水型水箱配件；</w:t>
      </w: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水龙头选用感应式水龙头或节水型起泡器，减少出水量，避免水资源浪费；</w:t>
      </w: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淋浴器选用节水型花洒，控制出水流量，提升用水效率；</w:t>
      </w:r>
      <w:r>
        <w:rPr>
          <w:rFonts w:ascii="Arial" w:eastAsia="等线" w:hAnsi="Arial" w:cs="Arial"/>
          <w:sz w:val="22"/>
        </w:rPr>
        <w:t>4.</w:t>
      </w:r>
      <w:r>
        <w:rPr>
          <w:rFonts w:ascii="Arial" w:eastAsia="等线" w:hAnsi="Arial" w:cs="Arial"/>
          <w:sz w:val="22"/>
        </w:rPr>
        <w:t>公共卫生间配备节水型小便器，采用感应式冲水，减少冲水用量。所有卫生洁具均选用正规厂家产品，确保质量合格、节水效果达标。</w:t>
      </w:r>
    </w:p>
    <w:p w14:paraId="7019A947" w14:textId="77777777" w:rsidR="00E457F6" w:rsidRDefault="00F577B5">
      <w:pPr>
        <w:spacing w:before="320" w:after="120" w:line="288" w:lineRule="auto"/>
        <w:jc w:val="left"/>
        <w:outlineLvl w:val="1"/>
      </w:pPr>
      <w:bookmarkStart w:id="16" w:name="heading_16"/>
      <w:r>
        <w:rPr>
          <w:rFonts w:ascii="Arial" w:eastAsia="等线" w:hAnsi="Arial" w:cs="Arial"/>
          <w:b/>
          <w:sz w:val="32"/>
        </w:rPr>
        <w:t>六、非传统水源利用方案</w:t>
      </w:r>
      <w:bookmarkEnd w:id="16"/>
    </w:p>
    <w:p w14:paraId="237FF9CA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本项目统筹利用非传统水源，主要包括雨水资源和生活废水再生利用，减少新水消耗，提升水资源利用效率，助力绿色建筑比赛评分，具体方案如下：</w:t>
      </w:r>
    </w:p>
    <w:p w14:paraId="7F9E78F2" w14:textId="3C229C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雨水利用：设置屋面、路面雨水收集系统，雨水经收集后，进入雨水储存池，经沉淀、过滤、消毒（加氯消毒）处理后，用于绿化灌溉、道路浇洒、车库冲洗等杂用水，替代部分新水用量。预计年收集雨水约</w:t>
      </w:r>
      <w:r>
        <w:rPr>
          <w:rFonts w:ascii="Arial" w:eastAsia="等线" w:hAnsi="Arial" w:cs="Arial"/>
          <w:sz w:val="22"/>
        </w:rPr>
        <w:t>800m³</w:t>
      </w:r>
      <w:r>
        <w:rPr>
          <w:rFonts w:ascii="Arial" w:eastAsia="等线" w:hAnsi="Arial" w:cs="Arial"/>
          <w:sz w:val="22"/>
        </w:rPr>
        <w:t>，可满足绿化用水需求量的</w:t>
      </w:r>
      <w:r>
        <w:rPr>
          <w:rFonts w:ascii="Arial" w:eastAsia="等线" w:hAnsi="Arial" w:cs="Arial"/>
          <w:sz w:val="22"/>
        </w:rPr>
        <w:t>67%</w:t>
      </w:r>
      <w:r>
        <w:rPr>
          <w:rFonts w:ascii="Arial" w:eastAsia="等线" w:hAnsi="Arial" w:cs="Arial"/>
          <w:sz w:val="22"/>
        </w:rPr>
        <w:t>左右，减少新水消耗约</w:t>
      </w:r>
      <w:r>
        <w:rPr>
          <w:rFonts w:ascii="Arial" w:eastAsia="等线" w:hAnsi="Arial" w:cs="Arial"/>
          <w:sz w:val="22"/>
        </w:rPr>
        <w:t>800m³/</w:t>
      </w:r>
      <w:r>
        <w:rPr>
          <w:rFonts w:ascii="Arial" w:eastAsia="等线" w:hAnsi="Arial" w:cs="Arial"/>
          <w:sz w:val="22"/>
        </w:rPr>
        <w:t>年。</w:t>
      </w:r>
    </w:p>
    <w:p w14:paraId="7D92CF73" w14:textId="2AB89C86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生活废水再生利用：收集居民生活洗漱废水、阳台排水等优质杂排水，经处理（过滤、沉淀、消毒）后，用于绿化灌溉和道路浇洒，进一步减少新水用量。预计年处理生活废水约</w:t>
      </w:r>
      <w:r>
        <w:rPr>
          <w:rFonts w:ascii="Arial" w:eastAsia="等线" w:hAnsi="Arial" w:cs="Arial"/>
          <w:sz w:val="22"/>
        </w:rPr>
        <w:t>500m³</w:t>
      </w:r>
      <w:r>
        <w:rPr>
          <w:rFonts w:ascii="Arial" w:eastAsia="等线" w:hAnsi="Arial" w:cs="Arial"/>
          <w:sz w:val="22"/>
        </w:rPr>
        <w:t>，可补充绿化用水需求，实现水资源循环利用。</w:t>
      </w:r>
    </w:p>
    <w:p w14:paraId="042D7295" w14:textId="11F1845B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非传统水源管理：设置非传统水源储存池、处理设备，安排专人负责设备运行和维护，定期监测水质（与水质在线监测系统联动），确保非传统水源水质符合杂用水使用标准，严禁用于生活饮用水；建立非传统水源利用记录，详细记录用水量、处理情况，</w:t>
      </w:r>
      <w:r>
        <w:rPr>
          <w:rFonts w:ascii="Arial" w:eastAsia="等线" w:hAnsi="Arial" w:cs="Arial"/>
          <w:sz w:val="22"/>
        </w:rPr>
        <w:lastRenderedPageBreak/>
        <w:t>实现可追溯。</w:t>
      </w:r>
    </w:p>
    <w:p w14:paraId="5E915EB9" w14:textId="77777777" w:rsidR="00E457F6" w:rsidRDefault="00F577B5">
      <w:pPr>
        <w:spacing w:before="320" w:after="120" w:line="288" w:lineRule="auto"/>
        <w:jc w:val="left"/>
        <w:outlineLvl w:val="1"/>
      </w:pPr>
      <w:bookmarkStart w:id="17" w:name="heading_17"/>
      <w:r>
        <w:rPr>
          <w:rFonts w:ascii="Arial" w:eastAsia="等线" w:hAnsi="Arial" w:cs="Arial"/>
          <w:b/>
          <w:sz w:val="32"/>
        </w:rPr>
        <w:t>七、水量平衡</w:t>
      </w:r>
      <w:bookmarkEnd w:id="17"/>
    </w:p>
    <w:p w14:paraId="09EBB993" w14:textId="77777777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本项目水量平衡以</w:t>
      </w:r>
      <w:r>
        <w:rPr>
          <w:rFonts w:ascii="Arial" w:eastAsia="等线" w:hAnsi="Arial" w:cs="Arial"/>
          <w:sz w:val="22"/>
        </w:rPr>
        <w:t>“</w:t>
      </w:r>
      <w:r>
        <w:rPr>
          <w:rFonts w:ascii="Arial" w:eastAsia="等线" w:hAnsi="Arial" w:cs="Arial"/>
          <w:sz w:val="22"/>
        </w:rPr>
        <w:t>统筹利用新水、充分利用非传统水源、减少废水排放</w:t>
      </w:r>
      <w:r>
        <w:rPr>
          <w:rFonts w:ascii="Arial" w:eastAsia="等线" w:hAnsi="Arial" w:cs="Arial"/>
          <w:sz w:val="22"/>
        </w:rPr>
        <w:t>”</w:t>
      </w:r>
      <w:r>
        <w:rPr>
          <w:rFonts w:ascii="Arial" w:eastAsia="等线" w:hAnsi="Arial" w:cs="Arial"/>
          <w:sz w:val="22"/>
        </w:rPr>
        <w:t>为核心，结合各类用水量估算及非传统水源利用情况，制定水量平衡计算表，确保水资源合理分配、高效利用，具体如下：</w:t>
      </w:r>
    </w:p>
    <w:tbl>
      <w:tblPr>
        <w:tblW w:w="0" w:type="auto"/>
        <w:tblBorders>
          <w:top w:val="single" w:sz="0" w:space="0" w:color="DEE0E3"/>
          <w:left w:val="single" w:sz="0" w:space="0" w:color="DEE0E3"/>
          <w:bottom w:val="single" w:sz="0" w:space="0" w:color="DEE0E3"/>
          <w:right w:val="single" w:sz="0" w:space="0" w:color="DEE0E3"/>
          <w:insideH w:val="single" w:sz="0" w:space="0" w:color="DEE0E3"/>
          <w:insideV w:val="single" w:sz="0" w:space="0" w:color="DEE0E3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</w:tblGrid>
      <w:tr w:rsidR="00E457F6" w14:paraId="32E11429" w14:textId="77777777"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3AF22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用水类别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67988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年用水量（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536A4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非传统水源利用（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720192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新水用水量（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71C95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耗水量（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45856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排水量（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1B1A2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污水量（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C644CD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废水量（</w:t>
            </w:r>
            <w:r>
              <w:rPr>
                <w:rFonts w:ascii="Arial" w:eastAsia="等线" w:hAnsi="Arial" w:cs="Arial"/>
                <w:sz w:val="22"/>
              </w:rPr>
              <w:t>m³</w:t>
            </w:r>
            <w:r>
              <w:rPr>
                <w:rFonts w:ascii="Arial" w:eastAsia="等线" w:hAnsi="Arial" w:cs="Arial"/>
                <w:sz w:val="22"/>
              </w:rPr>
              <w:t>）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4A13AA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备注</w:t>
            </w:r>
          </w:p>
        </w:tc>
      </w:tr>
      <w:tr w:rsidR="00E457F6" w14:paraId="2B835A17" w14:textId="77777777"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CF339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生活用水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FB521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3285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89309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19204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3285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F97DA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985.5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56020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2299.5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A988D5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1801.8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73821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497.7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53C39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废水部分用于非传统水源利用</w:t>
            </w:r>
          </w:p>
        </w:tc>
      </w:tr>
      <w:tr w:rsidR="00E457F6" w14:paraId="457F03BC" w14:textId="77777777"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923DCD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公共用水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DC6F6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1460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A9FAC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06D85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1460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A6945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438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94B3E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1022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C7767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715.4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18BE9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306.6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E54C7B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废水部分用于非传统水源利用</w:t>
            </w:r>
          </w:p>
        </w:tc>
      </w:tr>
      <w:tr w:rsidR="00E457F6" w14:paraId="032D3CCD" w14:textId="77777777"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BF2322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绿化用水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B38F0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1200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A835B9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1300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5E358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377ACB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1200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6E8AE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D45D06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016820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046F43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全部采用非传统水源（雨水</w:t>
            </w:r>
            <w:r>
              <w:rPr>
                <w:rFonts w:ascii="Arial" w:eastAsia="等线" w:hAnsi="Arial" w:cs="Arial"/>
                <w:sz w:val="22"/>
              </w:rPr>
              <w:t>+</w:t>
            </w:r>
            <w:r>
              <w:rPr>
                <w:rFonts w:ascii="Arial" w:eastAsia="等线" w:hAnsi="Arial" w:cs="Arial"/>
                <w:sz w:val="22"/>
              </w:rPr>
              <w:t>再生废水）</w:t>
            </w:r>
          </w:p>
        </w:tc>
      </w:tr>
      <w:tr w:rsidR="00E457F6" w14:paraId="05CC763A" w14:textId="77777777"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98247AE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合计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04DBCC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5945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70D5C8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1300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AC64E19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4745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AED2E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2623.5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DD95C7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3321.5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CC7AD0F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2517.2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471A61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804.3</w:t>
            </w:r>
          </w:p>
        </w:tc>
        <w:tc>
          <w:tcPr>
            <w:tcW w:w="91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9CBAD84" w14:textId="77777777" w:rsidR="00E457F6" w:rsidRDefault="00F577B5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sz w:val="22"/>
              </w:rPr>
              <w:t>非传统水源利用率约</w:t>
            </w:r>
            <w:r>
              <w:rPr>
                <w:rFonts w:ascii="Arial" w:eastAsia="等线" w:hAnsi="Arial" w:cs="Arial"/>
                <w:sz w:val="22"/>
              </w:rPr>
              <w:t>21.9%</w:t>
            </w:r>
          </w:p>
        </w:tc>
      </w:tr>
    </w:tbl>
    <w:p w14:paraId="27B699EF" w14:textId="0B8F8209" w:rsidR="00E457F6" w:rsidRDefault="00F577B5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注：</w:t>
      </w:r>
      <w:r>
        <w:rPr>
          <w:rFonts w:ascii="Arial" w:eastAsia="等线" w:hAnsi="Arial" w:cs="Arial"/>
          <w:sz w:val="22"/>
        </w:rPr>
        <w:t>1.</w:t>
      </w:r>
      <w:r>
        <w:rPr>
          <w:rFonts w:ascii="Arial" w:eastAsia="等线" w:hAnsi="Arial" w:cs="Arial"/>
          <w:sz w:val="22"/>
        </w:rPr>
        <w:t>耗水量按用水量的</w:t>
      </w:r>
      <w:r>
        <w:rPr>
          <w:rFonts w:ascii="Arial" w:eastAsia="等线" w:hAnsi="Arial" w:cs="Arial"/>
          <w:sz w:val="22"/>
        </w:rPr>
        <w:t>30%</w:t>
      </w:r>
      <w:r>
        <w:rPr>
          <w:rFonts w:ascii="Arial" w:eastAsia="等线" w:hAnsi="Arial" w:cs="Arial"/>
          <w:sz w:val="22"/>
        </w:rPr>
        <w:t>估算（生活用水、公共用水），绿化用水耗水量按</w:t>
      </w:r>
      <w:r>
        <w:rPr>
          <w:rFonts w:ascii="Arial" w:eastAsia="等线" w:hAnsi="Arial" w:cs="Arial"/>
          <w:sz w:val="22"/>
        </w:rPr>
        <w:t>100%</w:t>
      </w:r>
      <w:r>
        <w:rPr>
          <w:rFonts w:ascii="Arial" w:eastAsia="等线" w:hAnsi="Arial" w:cs="Arial"/>
          <w:sz w:val="22"/>
        </w:rPr>
        <w:t>估算（无排放）；</w:t>
      </w:r>
      <w:r>
        <w:rPr>
          <w:rFonts w:ascii="Arial" w:eastAsia="等线" w:hAnsi="Arial" w:cs="Arial"/>
          <w:sz w:val="22"/>
        </w:rPr>
        <w:t>2.</w:t>
      </w:r>
      <w:r>
        <w:rPr>
          <w:rFonts w:ascii="Arial" w:eastAsia="等线" w:hAnsi="Arial" w:cs="Arial"/>
          <w:sz w:val="22"/>
        </w:rPr>
        <w:t>污水量</w:t>
      </w:r>
      <w:proofErr w:type="gramStart"/>
      <w:r>
        <w:rPr>
          <w:rFonts w:ascii="Arial" w:eastAsia="等线" w:hAnsi="Arial" w:cs="Arial"/>
          <w:sz w:val="22"/>
        </w:rPr>
        <w:t>按排</w:t>
      </w:r>
      <w:proofErr w:type="gramEnd"/>
      <w:r>
        <w:rPr>
          <w:rFonts w:ascii="Arial" w:eastAsia="等线" w:hAnsi="Arial" w:cs="Arial"/>
          <w:sz w:val="22"/>
        </w:rPr>
        <w:t>水量的</w:t>
      </w:r>
      <w:r>
        <w:rPr>
          <w:rFonts w:ascii="Arial" w:eastAsia="等线" w:hAnsi="Arial" w:cs="Arial"/>
          <w:sz w:val="22"/>
        </w:rPr>
        <w:t>70%</w:t>
      </w:r>
      <w:r>
        <w:rPr>
          <w:rFonts w:ascii="Arial" w:eastAsia="等线" w:hAnsi="Arial" w:cs="Arial"/>
          <w:sz w:val="22"/>
        </w:rPr>
        <w:t>估算，废水量</w:t>
      </w:r>
      <w:proofErr w:type="gramStart"/>
      <w:r>
        <w:rPr>
          <w:rFonts w:ascii="Arial" w:eastAsia="等线" w:hAnsi="Arial" w:cs="Arial"/>
          <w:sz w:val="22"/>
        </w:rPr>
        <w:t>按排</w:t>
      </w:r>
      <w:proofErr w:type="gramEnd"/>
      <w:r>
        <w:rPr>
          <w:rFonts w:ascii="Arial" w:eastAsia="等线" w:hAnsi="Arial" w:cs="Arial"/>
          <w:sz w:val="22"/>
        </w:rPr>
        <w:t>水量的</w:t>
      </w:r>
      <w:r>
        <w:rPr>
          <w:rFonts w:ascii="Arial" w:eastAsia="等线" w:hAnsi="Arial" w:cs="Arial"/>
          <w:sz w:val="22"/>
        </w:rPr>
        <w:t>30%</w:t>
      </w:r>
      <w:r>
        <w:rPr>
          <w:rFonts w:ascii="Arial" w:eastAsia="等线" w:hAnsi="Arial" w:cs="Arial"/>
          <w:sz w:val="22"/>
        </w:rPr>
        <w:t>估算；</w:t>
      </w:r>
      <w:r>
        <w:rPr>
          <w:rFonts w:ascii="Arial" w:eastAsia="等线" w:hAnsi="Arial" w:cs="Arial"/>
          <w:sz w:val="22"/>
        </w:rPr>
        <w:t>3.</w:t>
      </w:r>
      <w:r>
        <w:rPr>
          <w:rFonts w:ascii="Arial" w:eastAsia="等线" w:hAnsi="Arial" w:cs="Arial"/>
          <w:sz w:val="22"/>
        </w:rPr>
        <w:t>非传</w:t>
      </w:r>
      <w:r>
        <w:rPr>
          <w:rFonts w:ascii="Arial" w:eastAsia="等线" w:hAnsi="Arial" w:cs="Arial"/>
          <w:sz w:val="22"/>
        </w:rPr>
        <w:lastRenderedPageBreak/>
        <w:t>统水源利用量为雨水</w:t>
      </w:r>
      <w:r>
        <w:rPr>
          <w:rFonts w:ascii="Arial" w:eastAsia="等线" w:hAnsi="Arial" w:cs="Arial"/>
          <w:sz w:val="22"/>
        </w:rPr>
        <w:t>800m³+</w:t>
      </w:r>
      <w:r>
        <w:rPr>
          <w:rFonts w:ascii="Arial" w:eastAsia="等线" w:hAnsi="Arial" w:cs="Arial"/>
          <w:sz w:val="22"/>
        </w:rPr>
        <w:t>再生废水</w:t>
      </w:r>
      <w:r>
        <w:rPr>
          <w:rFonts w:ascii="Arial" w:eastAsia="等线" w:hAnsi="Arial" w:cs="Arial"/>
          <w:sz w:val="22"/>
        </w:rPr>
        <w:t>500m³</w:t>
      </w:r>
      <w:r>
        <w:rPr>
          <w:rFonts w:ascii="Arial" w:eastAsia="等线" w:hAnsi="Arial" w:cs="Arial"/>
          <w:sz w:val="22"/>
        </w:rPr>
        <w:t>，合计</w:t>
      </w:r>
      <w:r>
        <w:rPr>
          <w:rFonts w:ascii="Arial" w:eastAsia="等线" w:hAnsi="Arial" w:cs="Arial"/>
          <w:sz w:val="22"/>
        </w:rPr>
        <w:t>1300m³</w:t>
      </w:r>
      <w:r>
        <w:rPr>
          <w:rFonts w:ascii="Arial" w:eastAsia="等线" w:hAnsi="Arial" w:cs="Arial"/>
          <w:sz w:val="22"/>
        </w:rPr>
        <w:t>，可完全覆盖绿化用水需求，减少新水消耗。</w:t>
      </w:r>
    </w:p>
    <w:sectPr w:rsidR="00E457F6">
      <w:headerReference w:type="default" r:id="rId7"/>
      <w:footerReference w:type="default" r:id="rId8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CB103" w14:textId="77777777" w:rsidR="00BA1982" w:rsidRDefault="00BA1982">
      <w:r>
        <w:separator/>
      </w:r>
    </w:p>
  </w:endnote>
  <w:endnote w:type="continuationSeparator" w:id="0">
    <w:p w14:paraId="004BB2D1" w14:textId="77777777" w:rsidR="00BA1982" w:rsidRDefault="00BA1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5942" w14:textId="77777777" w:rsidR="00E457F6" w:rsidRDefault="00E457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3E96" w14:textId="77777777" w:rsidR="00BA1982" w:rsidRDefault="00BA1982">
      <w:r>
        <w:separator/>
      </w:r>
    </w:p>
  </w:footnote>
  <w:footnote w:type="continuationSeparator" w:id="0">
    <w:p w14:paraId="561FD020" w14:textId="77777777" w:rsidR="00BA1982" w:rsidRDefault="00BA1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02745" w14:textId="77777777" w:rsidR="00E457F6" w:rsidRDefault="00E457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7F6"/>
    <w:rsid w:val="00936A47"/>
    <w:rsid w:val="00B734FA"/>
    <w:rsid w:val="00BA1982"/>
    <w:rsid w:val="00E457F6"/>
    <w:rsid w:val="00F5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B6279"/>
  <w15:docId w15:val="{97C85A5B-329D-44AE-A1E1-B193C9BF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748</Words>
  <Characters>4266</Characters>
  <Application>Microsoft Office Word</Application>
  <DocSecurity>0</DocSecurity>
  <Lines>35</Lines>
  <Paragraphs>10</Paragraphs>
  <ScaleCrop>false</ScaleCrop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晓 常</cp:lastModifiedBy>
  <cp:revision>3</cp:revision>
  <dcterms:created xsi:type="dcterms:W3CDTF">2026-03-23T15:01:00Z</dcterms:created>
  <dcterms:modified xsi:type="dcterms:W3CDTF">2026-03-23T15:05:00Z</dcterms:modified>
</cp:coreProperties>
</file>