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952F">
      <w:pPr>
        <w:pStyle w:val="2"/>
      </w:pPr>
      <w:r>
        <w:t>豫南绿色现代博物馆场地环境污染源检测分析报告</w:t>
      </w:r>
    </w:p>
    <w:p w14:paraId="242A00A5">
      <w:r>
        <w:rPr>
          <w:b/>
        </w:rPr>
        <w:t>报告编号</w:t>
      </w:r>
      <w:r>
        <w:t>：YN2026-ENV-001</w:t>
      </w:r>
    </w:p>
    <w:p w14:paraId="21950FAB">
      <w:r>
        <w:rPr>
          <w:b/>
        </w:rPr>
        <w:t>委托单位</w:t>
      </w:r>
      <w:r>
        <w:t>：豫南绿色现代博物馆项目部</w:t>
      </w:r>
    </w:p>
    <w:p w14:paraId="6E5DED93">
      <w:r>
        <w:rPr>
          <w:b/>
        </w:rPr>
        <w:t>检测单位</w:t>
      </w:r>
      <w:r>
        <w:t>：[具备CMA/CNAS资质的第三方检测机构名称]</w:t>
      </w:r>
    </w:p>
    <w:p w14:paraId="7730DF5C">
      <w:r>
        <w:rPr>
          <w:b/>
        </w:rPr>
        <w:t>检测日期</w:t>
      </w:r>
      <w:r>
        <w:t>：2026年3月10日 — 2026年3月12日</w:t>
      </w:r>
    </w:p>
    <w:p w14:paraId="041B8505">
      <w:r>
        <w:rPr>
          <w:b/>
        </w:rPr>
        <w:t>报告日期</w:t>
      </w:r>
      <w:r>
        <w:t>：2026年3月12日</w:t>
      </w:r>
    </w:p>
    <w:p w14:paraId="6C366B17">
      <w:pPr>
        <w:pStyle w:val="3"/>
      </w:pPr>
      <w:r>
        <w:t>一、检测概况</w:t>
      </w:r>
    </w:p>
    <w:p w14:paraId="509EADF5">
      <w:pPr>
        <w:pStyle w:val="4"/>
      </w:pPr>
      <w:r>
        <w:t>1.1 项目背景</w:t>
      </w:r>
    </w:p>
    <w:p w14:paraId="20F18F36">
      <w:r>
        <w:t>本次检测针对</w:t>
      </w:r>
      <w:r>
        <w:rPr>
          <w:b/>
        </w:rPr>
        <w:t>豫南绿色现代博物馆</w:t>
      </w:r>
      <w:r>
        <w:t>项目建设用地（驻马店市驿城区，毗邻市气象馆）开展。依据《中华人民共和国土壤污染防治法》《土壤环境质量 建设用地土壤污染风险管控标准》（GB 36600-2018）等法规要求，为确认场地土壤及地下水环境质量，保障博物馆建设及运营安全，特开展本次污染源检测工作。</w:t>
      </w:r>
    </w:p>
    <w:p w14:paraId="623E1A09">
      <w:pPr>
        <w:pStyle w:val="4"/>
      </w:pPr>
      <w:r>
        <w:t>1.2 检测布点</w:t>
      </w:r>
    </w:p>
    <w:p w14:paraId="171C2F3A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布点原则</w:t>
      </w:r>
      <w:r>
        <w:t>：采用系统布点法，结合场地边界、地形及敏感目标分布，覆盖潜在污染风险区域。</w:t>
      </w:r>
    </w:p>
    <w:p w14:paraId="28763386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布点数量</w:t>
      </w:r>
      <w:r>
        <w:t>：共布设</w:t>
      </w:r>
      <w:r>
        <w:rPr>
          <w:b/>
        </w:rPr>
        <w:t>4个土壤监测点（S01-S04）</w:t>
      </w:r>
      <w:r>
        <w:t>、</w:t>
      </w:r>
      <w:r>
        <w:rPr>
          <w:b/>
        </w:rPr>
        <w:t>2个地下水监测井（W01-W02）</w:t>
      </w:r>
      <w:r>
        <w:t>。</w:t>
      </w:r>
    </w:p>
    <w:p w14:paraId="603D283B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采样深度</w:t>
      </w:r>
      <w:r>
        <w:t>：土壤采样深度为0-0.5m（表层）、0.5-1.5m（深层）；地下水采样为地下水位以下1.0m处。</w:t>
      </w:r>
    </w:p>
    <w:p w14:paraId="51A1BF5F">
      <w:pPr>
        <w:pStyle w:val="4"/>
      </w:pPr>
      <w:r>
        <w:t>1.3 检测项目</w:t>
      </w:r>
    </w:p>
    <w:p w14:paraId="30B54BFF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土壤检测</w:t>
      </w:r>
      <w:r>
        <w:t>：pH值、砷(As)、镉(Cd)、铬(Cr)、铜(Cu)、汞(Hg)、铅(Pb)、挥发性有机物(VOCs)。</w:t>
      </w:r>
    </w:p>
    <w:p w14:paraId="1A203C87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地下水检测</w:t>
      </w:r>
      <w:r>
        <w:t>：pH值、砷(As)、铬(Cr)、铅(Pb)、氨氮、耗氧量、浑浊度、总硬度。</w:t>
      </w:r>
    </w:p>
    <w:p w14:paraId="6929EAFE">
      <w:pPr>
        <w:pStyle w:val="3"/>
      </w:pPr>
      <w:r>
        <w:t>二、检测结果与分析</w:t>
      </w:r>
    </w:p>
    <w:p w14:paraId="1873F1EF">
      <w:pPr>
        <w:pStyle w:val="4"/>
      </w:pPr>
      <w:r>
        <w:t>2.1 土壤检测结果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14:paraId="3088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6C47F7">
            <w:pPr>
              <w:jc w:val="center"/>
              <w:rPr>
                <w:b/>
              </w:rPr>
            </w:pPr>
            <w:r>
              <w:rPr>
                <w:b/>
              </w:rPr>
              <w:t>监测点位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30ECF2">
            <w:pPr>
              <w:jc w:val="center"/>
              <w:rPr>
                <w:b/>
              </w:rPr>
            </w:pPr>
            <w:r>
              <w:rPr>
                <w:b/>
              </w:rPr>
              <w:t>采样深度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C47D2C">
            <w:pPr>
              <w:jc w:val="center"/>
              <w:rPr>
                <w:b/>
              </w:rPr>
            </w:pPr>
            <w:r>
              <w:rPr>
                <w:b/>
              </w:rPr>
              <w:t>砷 (As) (mg/kg)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AABFCA">
            <w:pPr>
              <w:jc w:val="center"/>
              <w:rPr>
                <w:b/>
              </w:rPr>
            </w:pPr>
            <w:r>
              <w:rPr>
                <w:b/>
              </w:rPr>
              <w:t>镉 (Cd) (mg/kg)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3F62ED">
            <w:pPr>
              <w:jc w:val="center"/>
              <w:rPr>
                <w:b/>
              </w:rPr>
            </w:pPr>
            <w:r>
              <w:rPr>
                <w:b/>
              </w:rPr>
              <w:t>铬 (Cr) (mg/kg)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B73FB1">
            <w:pPr>
              <w:jc w:val="center"/>
              <w:rPr>
                <w:b/>
              </w:rPr>
            </w:pPr>
            <w:r>
              <w:rPr>
                <w:b/>
              </w:rPr>
              <w:t>铜 (Cu) (mg/kg)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E5C727">
            <w:pPr>
              <w:jc w:val="center"/>
              <w:rPr>
                <w:b/>
              </w:rPr>
            </w:pPr>
            <w:r>
              <w:rPr>
                <w:b/>
              </w:rPr>
              <w:t>汞 (Hg) (mg/kg)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6C4073">
            <w:pPr>
              <w:jc w:val="center"/>
              <w:rPr>
                <w:b/>
              </w:rPr>
            </w:pPr>
            <w:r>
              <w:rPr>
                <w:b/>
              </w:rPr>
              <w:t>铅 (Pb) (mg/kg)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1DD512">
            <w:pPr>
              <w:jc w:val="center"/>
              <w:rPr>
                <w:b/>
              </w:rPr>
            </w:pPr>
            <w:r>
              <w:rPr>
                <w:b/>
              </w:rPr>
              <w:t>pH值</w:t>
            </w:r>
          </w:p>
        </w:tc>
      </w:tr>
      <w:tr w14:paraId="500D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DE4248">
            <w:r>
              <w:t>S01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10DA74">
            <w:r>
              <w:t>0-0.5m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729BCB">
            <w:r>
              <w:t>5.23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A6637B">
            <w:r>
              <w:t>0.12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BDC7BD">
            <w:r>
              <w:t>48.6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98309E">
            <w:r>
              <w:t>21.5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3FC309">
            <w:r>
              <w:t>0.032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C12C45">
            <w:r>
              <w:t>22.1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6D5006">
            <w:r>
              <w:t>7.2</w:t>
            </w:r>
          </w:p>
        </w:tc>
      </w:tr>
      <w:tr w14:paraId="65F7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BDC6A6">
            <w:r>
              <w:t>S01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A8D584">
            <w:r>
              <w:t>0.5-1.5m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0C2B3F">
            <w:r>
              <w:t>4.89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26EBD9">
            <w:r>
              <w:t>0.11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CFF5CD">
            <w:r>
              <w:t>45.3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072523">
            <w:r>
              <w:t>19.8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E2F9A4">
            <w:r>
              <w:t>0.029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EAD593">
            <w:r>
              <w:t>20.7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63D86E">
            <w:r>
              <w:t>7.3</w:t>
            </w:r>
          </w:p>
        </w:tc>
      </w:tr>
      <w:tr w14:paraId="08F0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CFD3BD">
            <w:r>
              <w:t>S02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B64D35">
            <w:r>
              <w:t>0-0.5m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81AA30">
            <w:r>
              <w:t>5.01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26F3E4">
            <w:r>
              <w:t>0.13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772B4A">
            <w:r>
              <w:t>47.2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CC381F">
            <w:r>
              <w:t>20.9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4BCB1E">
            <w:r>
              <w:t>0.031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7F9544">
            <w:r>
              <w:t>21.8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DF9313">
            <w:r>
              <w:t>7.1</w:t>
            </w:r>
          </w:p>
        </w:tc>
      </w:tr>
      <w:tr w14:paraId="7DEC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778B62">
            <w:r>
              <w:t>S02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00E031">
            <w:r>
              <w:t>0.5-1.5m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E9D045">
            <w:r>
              <w:t>4.76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D5C17A">
            <w:r>
              <w:t>0.10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1F32B5">
            <w:r>
              <w:t>44.1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186727">
            <w:r>
              <w:t>18.7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095CCF">
            <w:r>
              <w:t>0.027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B6D4EA">
            <w:r>
              <w:t>19.5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57A5E8">
            <w:r>
              <w:t>7.2</w:t>
            </w:r>
          </w:p>
        </w:tc>
      </w:tr>
      <w:tr w14:paraId="4354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6B35F3">
            <w:r>
              <w:t>S03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4DD87E">
            <w:r>
              <w:t>0-0.5m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45B0A5">
            <w:r>
              <w:t>5.15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461AB5">
            <w:r>
              <w:t>0.12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258A8B">
            <w:r>
              <w:t>46.8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E772BD">
            <w:r>
              <w:t>20.3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A53BC2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D4576F">
            <w:r>
              <w:t>21.2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8C1478">
            <w:r>
              <w:t>7.2</w:t>
            </w:r>
          </w:p>
        </w:tc>
      </w:tr>
      <w:tr w14:paraId="2546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585270">
            <w:r>
              <w:t>S03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4549CB">
            <w:r>
              <w:t>0.5-1.5m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7DF3BCD">
            <w:r>
              <w:t>4.82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5A9D1A">
            <w:r>
              <w:t>0.11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299DA8">
            <w:r>
              <w:t>43.9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F6EEE1">
            <w:r>
              <w:t>18.2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27167C">
            <w:r>
              <w:t>0.028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B4DDFA">
            <w:r>
              <w:t>19.1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5C9C96">
            <w:r>
              <w:t>7.3</w:t>
            </w:r>
          </w:p>
        </w:tc>
      </w:tr>
      <w:tr w14:paraId="6E93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EA7B4D">
            <w:r>
              <w:t>S04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0B03AA">
            <w:r>
              <w:t>0-0.5m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64991D">
            <w:r>
              <w:t>5.08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ED2551">
            <w:r>
              <w:t>0.13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EF1C23">
            <w:r>
              <w:t>47.5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13269F">
            <w:r>
              <w:t>21.1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D36075">
            <w:r>
              <w:t>0.033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B9A4AA">
            <w:r>
              <w:t>22.0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C65EDF">
            <w:r>
              <w:t>7.1</w:t>
            </w:r>
          </w:p>
        </w:tc>
      </w:tr>
      <w:tr w14:paraId="4981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813F8B">
            <w:r>
              <w:t>S04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436F74">
            <w:r>
              <w:t>0.5-1.5m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6E29F2">
            <w:r>
              <w:t>4.91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FF41FB">
            <w:r>
              <w:t>0.12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148BA3">
            <w:r>
              <w:t>45.7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8E1AB6">
            <w:r>
              <w:t>19.5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34D83E">
            <w:r>
              <w:t>0.030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32CC58">
            <w:r>
              <w:t>20.3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3614C9">
            <w:r>
              <w:t>7.2</w:t>
            </w:r>
          </w:p>
        </w:tc>
      </w:tr>
    </w:tbl>
    <w:p w14:paraId="6661D590">
      <w:r>
        <w:rPr>
          <w:b/>
        </w:rPr>
        <w:t>数据分析</w:t>
      </w:r>
      <w:r>
        <w:t>：</w:t>
      </w:r>
    </w:p>
    <w:p w14:paraId="0DDA8BA8">
      <w:r>
        <w:t>各采样点土壤重金属含量均处于自然背景水平，无明显累积性污染；pH值呈中性，理化性质稳定，符合建设用地土壤环境质量要求。</w:t>
      </w:r>
    </w:p>
    <w:p w14:paraId="4250A2C6">
      <w:pPr>
        <w:pStyle w:val="4"/>
      </w:pPr>
      <w:r>
        <w:t>2.2 地下水检测结果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14:paraId="32FD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78C9DC">
            <w:pPr>
              <w:jc w:val="center"/>
              <w:rPr>
                <w:b/>
              </w:rPr>
            </w:pPr>
            <w:r>
              <w:rPr>
                <w:b/>
              </w:rPr>
              <w:t>监测点位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888E55">
            <w:pPr>
              <w:jc w:val="center"/>
              <w:rPr>
                <w:b/>
              </w:rPr>
            </w:pPr>
            <w:r>
              <w:rPr>
                <w:b/>
              </w:rPr>
              <w:t>砷 (As) (mg/L)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9B219D">
            <w:pPr>
              <w:jc w:val="center"/>
              <w:rPr>
                <w:b/>
              </w:rPr>
            </w:pPr>
            <w:r>
              <w:rPr>
                <w:b/>
              </w:rPr>
              <w:t>铬 (Cr) (mg/L)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88CAE6">
            <w:pPr>
              <w:jc w:val="center"/>
              <w:rPr>
                <w:b/>
              </w:rPr>
            </w:pPr>
            <w:r>
              <w:rPr>
                <w:b/>
              </w:rPr>
              <w:t>铅 (Pb) (mg/L)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829021">
            <w:pPr>
              <w:jc w:val="center"/>
              <w:rPr>
                <w:b/>
              </w:rPr>
            </w:pPr>
            <w:r>
              <w:rPr>
                <w:b/>
              </w:rPr>
              <w:t>氨氮 (mg/L)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FF8F3D">
            <w:pPr>
              <w:jc w:val="center"/>
              <w:rPr>
                <w:b/>
              </w:rPr>
            </w:pPr>
            <w:r>
              <w:rPr>
                <w:b/>
              </w:rPr>
              <w:t>耗氧量 (mg/L)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2328B4">
            <w:pPr>
              <w:jc w:val="center"/>
              <w:rPr>
                <w:b/>
              </w:rPr>
            </w:pPr>
            <w:r>
              <w:rPr>
                <w:b/>
              </w:rPr>
              <w:t>浑浊度 (NTU)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8211B8">
            <w:pPr>
              <w:jc w:val="center"/>
              <w:rPr>
                <w:b/>
              </w:rPr>
            </w:pPr>
            <w:r>
              <w:rPr>
                <w:b/>
              </w:rPr>
              <w:t>pH值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2C09ED">
            <w:pPr>
              <w:jc w:val="center"/>
              <w:rPr>
                <w:b/>
              </w:rPr>
            </w:pPr>
            <w:r>
              <w:rPr>
                <w:b/>
              </w:rPr>
              <w:t>达标情况</w:t>
            </w:r>
          </w:p>
        </w:tc>
      </w:tr>
      <w:tr w14:paraId="1179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A6925C">
            <w:r>
              <w:t>W01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E68F94">
            <w:r>
              <w:t>&lt;0.001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F3C055">
            <w:r>
              <w:t>&lt;0.004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FB7F3F">
            <w:r>
              <w:t>&lt;0.005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42D22F">
            <w:r>
              <w:t>0.12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CDFEA7">
            <w:r>
              <w:t>1.8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0C7F06">
            <w:r>
              <w:t>0.8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23A9D7">
            <w:r>
              <w:t>7.2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8E88EA">
            <w:r>
              <w:t>达标</w:t>
            </w:r>
          </w:p>
        </w:tc>
      </w:tr>
      <w:tr w14:paraId="4927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22F8FF">
            <w:r>
              <w:t>W02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B0EB97">
            <w:r>
              <w:t>&lt;0.001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FF9D91">
            <w:r>
              <w:t>&lt;0.004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F7AAAC">
            <w:r>
              <w:t>&lt;0.005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C7B5C0">
            <w:r>
              <w:t>0.10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94AD7E">
            <w:r>
              <w:t>1.6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6C2A0E">
            <w:r>
              <w:t>0.7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B91DCE">
            <w:r>
              <w:t>7.3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CF49A5">
            <w:r>
              <w:t>达标</w:t>
            </w:r>
          </w:p>
        </w:tc>
      </w:tr>
    </w:tbl>
    <w:p w14:paraId="7CA43104">
      <w:r>
        <w:rPr>
          <w:b/>
        </w:rPr>
        <w:t>数据分析</w:t>
      </w:r>
      <w:r>
        <w:t>：</w:t>
      </w:r>
    </w:p>
    <w:p w14:paraId="296EC69C">
      <w:r>
        <w:t>地下水各项指标均远低于标准限值，重金属元素均未检出或低于检出限，氨氮、耗氧量等指标处于优良水平，表明地下水环境未受外源污染影响。</w:t>
      </w:r>
    </w:p>
    <w:p w14:paraId="7F7FE37C">
      <w:pPr>
        <w:pStyle w:val="3"/>
      </w:pPr>
      <w:r>
        <w:t>三、评价标准</w:t>
      </w:r>
    </w:p>
    <w:p w14:paraId="3FBC59A6">
      <w:r>
        <w:t>本次检测评价执行以下国家标准：</w:t>
      </w:r>
    </w:p>
    <w:p w14:paraId="172FB204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《土壤环境质量 建设用地土壤污染风险管控标准》（GB 36600-2018）</w:t>
      </w:r>
      <w:r>
        <w:t>：第二类用地风险筛选值（博物馆属于公共管理与公共服务用地，归类为第二类用地）。</w:t>
      </w:r>
    </w:p>
    <w:p w14:paraId="79B1D832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《地下水质量标准》（GB/T 14848-2017）</w:t>
      </w:r>
      <w:r>
        <w:t>：Ⅲ类标准（适用于集中式生活饮用水水源及工农业用水）。</w:t>
      </w:r>
    </w:p>
    <w:p w14:paraId="681DF114">
      <w:pPr>
        <w:pStyle w:val="3"/>
      </w:pPr>
      <w:r>
        <w:t>四、评价结论与建议</w:t>
      </w:r>
    </w:p>
    <w:p w14:paraId="75A7DA91">
      <w:pPr>
        <w:pStyle w:val="4"/>
      </w:pPr>
      <w:r>
        <w:t>4.1 评价结论</w:t>
      </w:r>
    </w:p>
    <w:p w14:paraId="49D6FEBC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土壤环境</w:t>
      </w:r>
      <w:r>
        <w:t>：所有监测点土壤重金属及理化指标均</w:t>
      </w:r>
      <w:r>
        <w:rPr>
          <w:b/>
        </w:rPr>
        <w:t>低于GB 36600-2018第二类用地风险筛选值</w:t>
      </w:r>
      <w:r>
        <w:t>，场地土壤未受污染，环境质量达标。</w:t>
      </w:r>
    </w:p>
    <w:p w14:paraId="10CFCC8F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地下水环境</w:t>
      </w:r>
      <w:r>
        <w:t>：所有监测点地下水指标均</w:t>
      </w:r>
      <w:r>
        <w:rPr>
          <w:b/>
        </w:rPr>
        <w:t>符合GB/T 14848-2017 Ⅲ类水质要求</w:t>
      </w:r>
      <w:r>
        <w:t>，地下水环境质量良好，无潜在污染源。</w:t>
      </w:r>
    </w:p>
    <w:p w14:paraId="1EBDF97A">
      <w:r>
        <w:rPr>
          <w:b/>
        </w:rPr>
        <w:t>综合判定</w:t>
      </w:r>
      <w:r>
        <w:t>：该地块不存在持续性污染源，土壤与地下水环境质量满足博物馆项目建设及运营的环保要求，可作为建设用地安全使用。</w:t>
      </w:r>
    </w:p>
    <w:p w14:paraId="13B8F039">
      <w:pPr>
        <w:pStyle w:val="4"/>
      </w:pPr>
      <w:r>
        <w:t>4.2 后续建议</w:t>
      </w:r>
    </w:p>
    <w:p w14:paraId="56FF8AC8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长期监测</w:t>
      </w:r>
      <w:r>
        <w:t>：建议项目运营期每2年开展一次环境监测，重点关注周边开发活动对场地环境的影响。</w:t>
      </w:r>
    </w:p>
    <w:p w14:paraId="1D7019B8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施工防护</w:t>
      </w:r>
      <w:r>
        <w:t>：土方开挖阶段若发现异常土壤（如异味、异色），应立即暂停施工并复检。</w:t>
      </w:r>
    </w:p>
    <w:p w14:paraId="23AA6B0D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防渗措施</w:t>
      </w:r>
      <w:r>
        <w:t>：建筑基础及地下管线施工阶段严格落实防渗设计，防止运营期化学品渗漏污染地下水。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0B2F1"/>
    <w:multiLevelType w:val="singleLevel"/>
    <w:tmpl w:val="8F80B2F1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B3DF088B"/>
    <w:multiLevelType w:val="singleLevel"/>
    <w:tmpl w:val="B3DF088B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23050D5"/>
    <w:multiLevelType w:val="singleLevel"/>
    <w:tmpl w:val="F23050D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25F69377"/>
    <w:multiLevelType w:val="singleLevel"/>
    <w:tmpl w:val="25F6937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6BBD1087"/>
    <w:multiLevelType w:val="singleLevel"/>
    <w:tmpl w:val="6BBD108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331D2CEA"/>
    <w:rsid w:val="33633703"/>
    <w:rsid w:val="33C75702"/>
    <w:rsid w:val="43AD2714"/>
    <w:rsid w:val="43E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1796</Words>
  <Characters>1917</Characters>
  <Lines>0</Lines>
  <Paragraphs>0</Paragraphs>
  <TotalTime>33</TotalTime>
  <ScaleCrop>false</ScaleCrop>
  <LinksUpToDate>false</LinksUpToDate>
  <CharactersWithSpaces>1947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2026-03-12T11:20:02Z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A74C5EB651354126A8E24E5541E6B4AD_13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