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690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豫南绿色现代博物馆治理措施分析报告</w:t>
      </w:r>
    </w:p>
    <w:p w14:paraId="519A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一、报告概述</w:t>
      </w:r>
    </w:p>
    <w:p w14:paraId="2C84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报告围绕豫南绿色现代博物馆运营管理、公共服务、安全保障等核心维度，全面梳理现有治理措施的实施成效、现存不足，并结合项目区位特征，提出优化完善建议，旨在提升博物馆治理效能，保障其公益属性、文化属性与社会服务功能的高效落地。</w:t>
      </w:r>
    </w:p>
    <w:p w14:paraId="7335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二、博物馆治理核心维度及现有措施分析</w:t>
      </w:r>
    </w:p>
    <w:p w14:paraId="3ADC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（一）运营管理治理</w:t>
      </w:r>
    </w:p>
    <w:p w14:paraId="5AB5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现有措施</w:t>
      </w:r>
    </w:p>
    <w:p w14:paraId="5528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建立“博物馆运营部+专业管理团队”双层管理架构，统筹场馆日常运营、活动策划、设施维护等工作，明确各岗位权责边界。</w:t>
      </w:r>
    </w:p>
    <w:p w14:paraId="75E3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制定《博物馆日常运营管理办法》《文化活动管理规范》等制度，规范场馆开放时间、展品陈列、游客接待等核心流程，开放时间同步公共文化服务标准（每日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:00-1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:00，</w:t>
      </w:r>
      <w:r>
        <w:rPr>
          <w:rFonts w:hint="eastAsia"/>
          <w:lang w:val="en-US" w:eastAsia="zh-CN"/>
        </w:rPr>
        <w:t>15：00</w:t>
      </w:r>
      <w:r>
        <w:rPr>
          <w:rFonts w:hint="eastAsia"/>
        </w:rPr>
        <w:t>停止入馆）。</w:t>
      </w:r>
    </w:p>
    <w:p w14:paraId="77E7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结合区位特点，搭建与黄淮学院的校地合作机制，邀请师生参与场馆志愿讲解、活动策划等工作，强化青少年文化服务与校园文化联动。</w:t>
      </w:r>
    </w:p>
    <w:p w14:paraId="1157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成效分析</w:t>
      </w:r>
    </w:p>
    <w:p w14:paraId="608A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管理架构清晰，保障了场馆日常运营的稳定性，未出现重大运营管理漏洞。</w:t>
      </w:r>
    </w:p>
    <w:p w14:paraId="5FC2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制度体系初步完善，为场馆规范运行提供了基础依据，校地合作有效拓展了文化服务受众，提升了博物馆影响力。</w:t>
      </w:r>
    </w:p>
    <w:p w14:paraId="7B54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（二）公共服务与共享治理</w:t>
      </w:r>
    </w:p>
    <w:p w14:paraId="2BFA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现有措施</w:t>
      </w:r>
    </w:p>
    <w:p w14:paraId="00C5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规划并落地公共服务设施布局，涵盖公共卫生间、休息区、小型报告厅、临时展览空间、健身活动区等，配套制作《公共服务设施布局图及位置标识图》，明确设施位置与开放规则。</w:t>
      </w:r>
    </w:p>
    <w:p w14:paraId="592B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制定《设施向社会共享的管理办法》《实施方案》及使用说明，明确共享设施的开放时段（全时段开放卫生间、休息区；限时开放小型报告厅、健身区；预约开放会议室等）、使用流程及安全管理要求。</w:t>
      </w:r>
    </w:p>
    <w:p w14:paraId="0796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配套实施接驳车服务（衔接黄淮学院）、导视系统建设等配套服务，提升公共服务可达性。</w:t>
      </w:r>
    </w:p>
    <w:p w14:paraId="172E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E1F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成效分析</w:t>
      </w:r>
    </w:p>
    <w:p w14:paraId="7BA4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公共服务设施覆盖全面，满足了游客及周边市民、黄淮学院师生的基础公共服务需求，共享设施的实施有效提升了场馆资源的社会利用率。</w:t>
      </w:r>
    </w:p>
    <w:p w14:paraId="0300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管理制度明确，规范了共享设施的使用秩序，避免了资源占用、安全隐患等问题，保障了共享服务的有序推进。</w:t>
      </w:r>
    </w:p>
    <w:p w14:paraId="2B16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（三）安全保障治理</w:t>
      </w:r>
    </w:p>
    <w:p w14:paraId="68A4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现有措施</w:t>
      </w:r>
    </w:p>
    <w:p w14:paraId="73D7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建立“安保人员巡查+智能监控覆盖”的安全防控体系，覆盖场馆出入口、展品区域、共享设施区域等核心点位，保障游客人身与展品安全。</w:t>
      </w:r>
    </w:p>
    <w:p w14:paraId="1C65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制定《消防安全应急预案》《突发事件处置预案》，定期开展消防演练、应急处置培训，配备足额的消防器材、应急物资。</w:t>
      </w:r>
    </w:p>
    <w:p w14:paraId="7CDB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针对场地周边道路车流量大、骑行风险高的特点，实施自行车管控措施，明确禁止在核心区域骑行、违规停放，保障场馆周边通行安全。</w:t>
      </w:r>
    </w:p>
    <w:p w14:paraId="181F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成效分析</w:t>
      </w:r>
    </w:p>
    <w:p w14:paraId="7D10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安全防控体系覆盖全面，有效防范了展品损坏、游客意外受伤等安全风险，未发生重大安全事故。</w:t>
      </w:r>
    </w:p>
    <w:p w14:paraId="0A21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应急预案与演练机制完善，提升了管理团队的应急处置能力，自行车管控有效规避了骑行与行人、机动车的冲突隐患。</w:t>
      </w:r>
    </w:p>
    <w:p w14:paraId="4D0B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（四）交通与配套治理</w:t>
      </w:r>
    </w:p>
    <w:p w14:paraId="4B91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现有措施</w:t>
      </w:r>
    </w:p>
    <w:p w14:paraId="5F84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规划建设场馆停车场，配套实施公共交通接驳车服务（衔接黄淮学院、市气象局公交站），明确接驳车运营时间、发车间隔、行驶路线，保障游客及师生出行。</w:t>
      </w:r>
    </w:p>
    <w:p w14:paraId="58D2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优化场地步行系统设计，建设宽敞平整的步行道，设置清晰的导视标识，明确非机动车管控区域，规范周边交通秩序。</w:t>
      </w:r>
    </w:p>
    <w:p w14:paraId="61423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成效分析</w:t>
      </w:r>
    </w:p>
    <w:p w14:paraId="201D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接驳车服务有效解决了场馆500米范围内无运营公交站点的出行难题，衔接黄淮学院与市区公交网络，提升了交通可达性。</w:t>
      </w:r>
    </w:p>
    <w:p w14:paraId="3515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步行系统与交通管控规范，保障了场馆周边通行安全，避免了交通拥堵、乱停乱放等问题。</w:t>
      </w:r>
    </w:p>
    <w:p w14:paraId="0193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786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三、治理措施优化完善建议</w:t>
      </w:r>
    </w:p>
    <w:p w14:paraId="6915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（一）提升数字化治理水平</w:t>
      </w:r>
    </w:p>
    <w:p w14:paraId="5B3A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搭建一体化博物馆智慧管理平台，整合游客预约、设施共享、活动报名、客流监测、停车管理等功能，实现“线上一键办理、线下高效服务”。</w:t>
      </w:r>
    </w:p>
    <w:p w14:paraId="7ED1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引入智能导视、智能讲解等设备，优化游客体验；利用大数据分析客流规律、设施使用情况，为运营管理、活动策划提供数据支撑。</w:t>
      </w:r>
    </w:p>
    <w:p w14:paraId="434E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（二）强化区域协同治理</w:t>
      </w:r>
    </w:p>
    <w:p w14:paraId="4BB6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联动气象馆、黄淮学院，建立“驿城区文化场馆协同治理机制”，统筹文化资源、活动策划、服务设施，打造区域文化服务圈，实现资源共享、优势互补。</w:t>
      </w:r>
    </w:p>
    <w:p w14:paraId="5DAF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拓展接驳车服务覆盖范围，衔接黄淮学院南北校区、周边居民社区及次要公交站点，优化行驶路线与发车间隔，提升出行便捷度。</w:t>
      </w:r>
    </w:p>
    <w:p w14:paraId="6C006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（三）精细化公共服务与共享治理</w:t>
      </w:r>
    </w:p>
    <w:p w14:paraId="0023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优化共享设施预约流程，简化线上申请步骤；建立用户使用反馈机制，通过平台、现场问卷等方式及时收集意见，动态调整设施开放时段、使用规则。</w:t>
      </w:r>
    </w:p>
    <w:p w14:paraId="56D86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针对不同群体（游客、市民、师生）需求，定制差异化公共服务方案，如为黄淮学院师生开设专属文化课程、为青少年开设研学活动，提升服务精准度。</w:t>
      </w:r>
    </w:p>
    <w:p w14:paraId="0989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（四）升级安全保障治理</w:t>
      </w:r>
    </w:p>
    <w:p w14:paraId="309A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引入智能预警系统，实时监测客流密度、设施运行状态、消防安全情况，提前预警风险并推送至管理团队，实现主动防控。</w:t>
      </w:r>
    </w:p>
    <w:p w14:paraId="60F6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加强与周边医院、消防、公安部门的联动，建立应急救援协同机制；定期开展跨部门应急演练，提升应急处置的专业性与高效性。</w:t>
      </w:r>
    </w:p>
    <w:p w14:paraId="6BC2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（五）优化交通与配套治理</w:t>
      </w:r>
    </w:p>
    <w:p w14:paraId="0A6F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扩容停车场容量或引入共享停车机制（联动周边单位停车场），搭建智慧停车调度平台，实时显示停车剩余容量，引导车辆有序停放。</w:t>
      </w:r>
    </w:p>
    <w:p w14:paraId="0043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完善场馆周边交通标识体系，增设非机动车临时停放点，规范周边道路通行秩序，结合交通流量变化实施临时管控措施，避免拥堵。</w:t>
      </w:r>
    </w:p>
    <w:p w14:paraId="7188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四、结论</w:t>
      </w:r>
    </w:p>
    <w:p w14:paraId="7AAC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豫南绿色现代博物馆现有治理措施覆盖运营管理、公共服务、安全保障、交通配套等核心维度，初步构建了符合项目定位与区位特点的治理体系，保障了场馆公益属性与社会服务功能的落地实施，未出现重大治理漏洞。</w:t>
      </w:r>
    </w:p>
    <w:p w14:paraId="0C43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但结合项目长期运营需求与区位资源整合趋势，仍需在数字化治理、区域协同、精细化服务、安全防控等方面持续优化。通过推进智慧化建设、强化区域联动、提升服务精准度、完善安全保障体系，可进一步提升博物馆治理效能，充分发挥其文化传播、公共服务、社会联动的核心价值，打造区域文化治理标杆项目。</w:t>
      </w:r>
    </w:p>
    <w:p w14:paraId="0094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33633703"/>
    <w:rsid w:val="33C75702"/>
    <w:rsid w:val="43AD2714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1917</Characters>
  <Lines>0</Lines>
  <Paragraphs>0</Paragraphs>
  <TotalTime>31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3375C02330AD4E9BBFCEB54CF6859AB9_13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