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458F">
      <w:pPr>
        <w:pStyle w:val="2"/>
        <w:bidi w:val="0"/>
        <w:rPr>
          <w:rFonts w:hint="eastAsia"/>
        </w:rPr>
      </w:pPr>
      <w:r>
        <w:rPr>
          <w:rFonts w:hint="eastAsia"/>
        </w:rPr>
        <w:t>博物馆绿色建筑项目区域照度专项检测报告</w:t>
      </w:r>
    </w:p>
    <w:p w14:paraId="1B4A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报告编号：ZD-JC-20260317-006</w:t>
      </w:r>
    </w:p>
    <w:p w14:paraId="17956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检测日期：2026年03月17日</w:t>
      </w:r>
    </w:p>
    <w:p w14:paraId="1C84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检测依据：《建筑照明设计标准》GB 50034-2013、《博物馆建筑设计规范》JGJ 66-2015</w:t>
      </w:r>
    </w:p>
    <w:p w14:paraId="1014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一、检测概况</w:t>
      </w:r>
    </w:p>
    <w:p w14:paraId="6279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检测范围</w:t>
      </w:r>
    </w:p>
    <w:p w14:paraId="352F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本次检测覆盖博物馆建筑核心功能区域，重点核查绿色照明系统及文物保护照明达标情况：</w:t>
      </w:r>
    </w:p>
    <w:p w14:paraId="7EFF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展厅公共区：主展厅、连廊、交叉路口</w:t>
      </w:r>
    </w:p>
    <w:p w14:paraId="70DC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文物库房区：恒温恒湿库房、文物存取通道</w:t>
      </w:r>
    </w:p>
    <w:p w14:paraId="67EE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疏散逃生区：楼梯间、疏散走廊、地下车库</w:t>
      </w:r>
    </w:p>
    <w:p w14:paraId="764B7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室外及附属区：主入口广场、设备机房、办公区</w:t>
      </w:r>
    </w:p>
    <w:p w14:paraId="4A0BC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检测方法与设备</w:t>
      </w:r>
    </w:p>
    <w:p w14:paraId="1FDCE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检测工具：高精度数字照度计（量程0-100000lux）</w:t>
      </w:r>
    </w:p>
    <w:p w14:paraId="0A42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检测方式：网格布点法，按面积均匀布设测点</w:t>
      </w:r>
    </w:p>
    <w:p w14:paraId="3A231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测试条件：关闭非检测专用应急灯，开启正常照明系统，维持环境照度稳定</w:t>
      </w:r>
    </w:p>
    <w:p w14:paraId="497D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二、检测标准与设计要求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8"/>
      </w:tblGrid>
      <w:tr w14:paraId="214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BEF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区域名称</w:t>
            </w:r>
          </w:p>
        </w:tc>
        <w:tc>
          <w:tcPr>
            <w:tcW w:w="1217" w:type="dxa"/>
          </w:tcPr>
          <w:p w14:paraId="2F7C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设计照度标准</w:t>
            </w:r>
            <w:r>
              <w:rPr>
                <w:rFonts w:hint="eastAsia"/>
                <w:lang w:val="en-US" w:eastAsia="zh-CN"/>
              </w:rPr>
              <w:t>(lx)</w:t>
            </w:r>
          </w:p>
        </w:tc>
        <w:tc>
          <w:tcPr>
            <w:tcW w:w="1218" w:type="dxa"/>
          </w:tcPr>
          <w:p w14:paraId="288D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0AA0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6F4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展厅公共区</w:t>
            </w:r>
          </w:p>
        </w:tc>
        <w:tc>
          <w:tcPr>
            <w:tcW w:w="1217" w:type="dxa"/>
          </w:tcPr>
          <w:p w14:paraId="2B35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300lx</w:t>
            </w:r>
          </w:p>
        </w:tc>
        <w:tc>
          <w:tcPr>
            <w:tcW w:w="1218" w:type="dxa"/>
          </w:tcPr>
          <w:p w14:paraId="4BB2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绿色节能照明，均匀度≥</w:t>
            </w:r>
            <w:r>
              <w:rPr>
                <w:rFonts w:hint="eastAsia"/>
                <w:lang w:val="en-US" w:eastAsia="zh-CN"/>
              </w:rPr>
              <w:t>0.7</w:t>
            </w:r>
          </w:p>
        </w:tc>
      </w:tr>
      <w:tr w14:paraId="3F3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1E3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文物库房</w:t>
            </w:r>
          </w:p>
        </w:tc>
        <w:tc>
          <w:tcPr>
            <w:tcW w:w="1217" w:type="dxa"/>
          </w:tcPr>
          <w:p w14:paraId="61BE6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200lx</w:t>
            </w:r>
          </w:p>
        </w:tc>
        <w:tc>
          <w:tcPr>
            <w:tcW w:w="1218" w:type="dxa"/>
          </w:tcPr>
          <w:p w14:paraId="3440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防紫外线照明，无眩光</w:t>
            </w:r>
          </w:p>
        </w:tc>
      </w:tr>
      <w:tr w14:paraId="0086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B7E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疏散楼梯/走廊</w:t>
            </w:r>
          </w:p>
        </w:tc>
        <w:tc>
          <w:tcPr>
            <w:tcW w:w="1217" w:type="dxa"/>
          </w:tcPr>
          <w:p w14:paraId="4997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100lx</w:t>
            </w:r>
          </w:p>
        </w:tc>
        <w:tc>
          <w:tcPr>
            <w:tcW w:w="1218" w:type="dxa"/>
          </w:tcPr>
          <w:p w14:paraId="5423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应急照明切换时间≤5s</w:t>
            </w:r>
          </w:p>
        </w:tc>
      </w:tr>
      <w:tr w14:paraId="3877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C41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地下车库</w:t>
            </w:r>
          </w:p>
        </w:tc>
        <w:tc>
          <w:tcPr>
            <w:tcW w:w="1217" w:type="dxa"/>
          </w:tcPr>
          <w:p w14:paraId="32C8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100lx</w:t>
            </w:r>
          </w:p>
        </w:tc>
        <w:tc>
          <w:tcPr>
            <w:tcW w:w="1218" w:type="dxa"/>
          </w:tcPr>
          <w:p w14:paraId="7D49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感应控制，节能模式</w:t>
            </w:r>
          </w:p>
        </w:tc>
      </w:tr>
      <w:tr w14:paraId="1BF7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A4C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主入口广场</w:t>
            </w:r>
          </w:p>
        </w:tc>
        <w:tc>
          <w:tcPr>
            <w:tcW w:w="1217" w:type="dxa"/>
          </w:tcPr>
          <w:p w14:paraId="08DE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150lx</w:t>
            </w:r>
          </w:p>
        </w:tc>
        <w:tc>
          <w:tcPr>
            <w:tcW w:w="1218" w:type="dxa"/>
          </w:tcPr>
          <w:p w14:paraId="399E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夜景照明全覆盖</w:t>
            </w:r>
          </w:p>
        </w:tc>
      </w:tr>
    </w:tbl>
    <w:p w14:paraId="7E503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三、检测结果与数据分析</w:t>
      </w:r>
    </w:p>
    <w:p w14:paraId="4534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（一）展厅公共区照度检测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</w:tblGrid>
      <w:tr w14:paraId="4020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365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点位编号</w:t>
            </w:r>
          </w:p>
        </w:tc>
        <w:tc>
          <w:tcPr>
            <w:tcW w:w="1420" w:type="dxa"/>
          </w:tcPr>
          <w:p w14:paraId="767F8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测点位置</w:t>
            </w:r>
          </w:p>
        </w:tc>
        <w:tc>
          <w:tcPr>
            <w:tcW w:w="1420" w:type="dxa"/>
          </w:tcPr>
          <w:p w14:paraId="452C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实测照度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lx)</w:t>
            </w:r>
          </w:p>
        </w:tc>
        <w:tc>
          <w:tcPr>
            <w:tcW w:w="1420" w:type="dxa"/>
          </w:tcPr>
          <w:p w14:paraId="58AA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评定</w:t>
            </w:r>
          </w:p>
        </w:tc>
      </w:tr>
      <w:tr w14:paraId="5D2E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F77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TD-01</w:t>
            </w:r>
          </w:p>
        </w:tc>
        <w:tc>
          <w:tcPr>
            <w:tcW w:w="1420" w:type="dxa"/>
          </w:tcPr>
          <w:p w14:paraId="0CF2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展厅中心主通道</w:t>
            </w:r>
          </w:p>
        </w:tc>
        <w:tc>
          <w:tcPr>
            <w:tcW w:w="1420" w:type="dxa"/>
          </w:tcPr>
          <w:p w14:paraId="2FD7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326</w:t>
            </w:r>
          </w:p>
        </w:tc>
        <w:tc>
          <w:tcPr>
            <w:tcW w:w="1420" w:type="dxa"/>
          </w:tcPr>
          <w:p w14:paraId="7772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2D03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035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TD-02</w:t>
            </w:r>
          </w:p>
        </w:tc>
        <w:tc>
          <w:tcPr>
            <w:tcW w:w="1420" w:type="dxa"/>
          </w:tcPr>
          <w:p w14:paraId="43EB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展陈立柱旁</w:t>
            </w:r>
          </w:p>
        </w:tc>
        <w:tc>
          <w:tcPr>
            <w:tcW w:w="1420" w:type="dxa"/>
          </w:tcPr>
          <w:p w14:paraId="54AE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315</w:t>
            </w:r>
          </w:p>
        </w:tc>
        <w:tc>
          <w:tcPr>
            <w:tcW w:w="1420" w:type="dxa"/>
          </w:tcPr>
          <w:p w14:paraId="38BB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5EE3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4765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TD-03</w:t>
            </w:r>
          </w:p>
        </w:tc>
        <w:tc>
          <w:tcPr>
            <w:tcW w:w="1420" w:type="dxa"/>
          </w:tcPr>
          <w:p w14:paraId="772F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中庭下沉广场</w:t>
            </w:r>
          </w:p>
        </w:tc>
        <w:tc>
          <w:tcPr>
            <w:tcW w:w="1420" w:type="dxa"/>
          </w:tcPr>
          <w:p w14:paraId="7DEA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342</w:t>
            </w:r>
          </w:p>
        </w:tc>
        <w:tc>
          <w:tcPr>
            <w:tcW w:w="1420" w:type="dxa"/>
          </w:tcPr>
          <w:p w14:paraId="7191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4645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0638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TD-04</w:t>
            </w:r>
          </w:p>
        </w:tc>
        <w:tc>
          <w:tcPr>
            <w:tcW w:w="1420" w:type="dxa"/>
          </w:tcPr>
          <w:p w14:paraId="6144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转角缓冲区</w:t>
            </w:r>
          </w:p>
        </w:tc>
        <w:tc>
          <w:tcPr>
            <w:tcW w:w="1420" w:type="dxa"/>
          </w:tcPr>
          <w:p w14:paraId="3552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308</w:t>
            </w:r>
          </w:p>
        </w:tc>
        <w:tc>
          <w:tcPr>
            <w:tcW w:w="1420" w:type="dxa"/>
          </w:tcPr>
          <w:p w14:paraId="0A53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57AC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BFD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平均值</w:t>
            </w:r>
          </w:p>
        </w:tc>
        <w:tc>
          <w:tcPr>
            <w:tcW w:w="1420" w:type="dxa"/>
          </w:tcPr>
          <w:p w14:paraId="35DF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</w:t>
            </w:r>
          </w:p>
        </w:tc>
        <w:tc>
          <w:tcPr>
            <w:tcW w:w="1420" w:type="dxa"/>
          </w:tcPr>
          <w:p w14:paraId="64A5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323</w:t>
            </w:r>
            <w:r>
              <w:rPr>
                <w:rFonts w:hint="eastAsia"/>
                <w:lang w:val="en-US" w:eastAsia="zh-CN"/>
              </w:rPr>
              <w:t>lx</w:t>
            </w:r>
          </w:p>
        </w:tc>
        <w:tc>
          <w:tcPr>
            <w:tcW w:w="1420" w:type="dxa"/>
          </w:tcPr>
          <w:p w14:paraId="2047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</w:tbl>
    <w:p w14:paraId="58BD6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（二）文物库房区照度检测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</w:tblGrid>
      <w:tr w14:paraId="1C90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F45E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点位编号</w:t>
            </w:r>
          </w:p>
        </w:tc>
        <w:tc>
          <w:tcPr>
            <w:tcW w:w="1420" w:type="dxa"/>
          </w:tcPr>
          <w:p w14:paraId="6060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测点位置</w:t>
            </w:r>
          </w:p>
        </w:tc>
        <w:tc>
          <w:tcPr>
            <w:tcW w:w="1420" w:type="dxa"/>
          </w:tcPr>
          <w:p w14:paraId="376D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实测照度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lx）</w:t>
            </w:r>
          </w:p>
        </w:tc>
        <w:tc>
          <w:tcPr>
            <w:tcW w:w="1420" w:type="dxa"/>
          </w:tcPr>
          <w:p w14:paraId="0BC8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评定</w:t>
            </w:r>
          </w:p>
        </w:tc>
      </w:tr>
      <w:tr w14:paraId="560E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151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KF-01</w:t>
            </w:r>
          </w:p>
        </w:tc>
        <w:tc>
          <w:tcPr>
            <w:tcW w:w="1420" w:type="dxa"/>
          </w:tcPr>
          <w:p w14:paraId="0FA9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货架首层通道</w:t>
            </w:r>
          </w:p>
        </w:tc>
        <w:tc>
          <w:tcPr>
            <w:tcW w:w="1420" w:type="dxa"/>
          </w:tcPr>
          <w:p w14:paraId="6371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218</w:t>
            </w:r>
          </w:p>
        </w:tc>
        <w:tc>
          <w:tcPr>
            <w:tcW w:w="1420" w:type="dxa"/>
          </w:tcPr>
          <w:p w14:paraId="37A3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69C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B15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KF-02</w:t>
            </w:r>
          </w:p>
        </w:tc>
        <w:tc>
          <w:tcPr>
            <w:tcW w:w="1420" w:type="dxa"/>
          </w:tcPr>
          <w:p w14:paraId="4E09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货架中层区域</w:t>
            </w:r>
          </w:p>
        </w:tc>
        <w:tc>
          <w:tcPr>
            <w:tcW w:w="1420" w:type="dxa"/>
          </w:tcPr>
          <w:p w14:paraId="1C91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209</w:t>
            </w:r>
          </w:p>
        </w:tc>
        <w:tc>
          <w:tcPr>
            <w:tcW w:w="1420" w:type="dxa"/>
          </w:tcPr>
          <w:p w14:paraId="2168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A2E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23A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KF-03</w:t>
            </w:r>
          </w:p>
        </w:tc>
        <w:tc>
          <w:tcPr>
            <w:tcW w:w="1420" w:type="dxa"/>
          </w:tcPr>
          <w:p w14:paraId="297D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温控设备间</w:t>
            </w:r>
          </w:p>
        </w:tc>
        <w:tc>
          <w:tcPr>
            <w:tcW w:w="1420" w:type="dxa"/>
          </w:tcPr>
          <w:p w14:paraId="3408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225</w:t>
            </w:r>
          </w:p>
        </w:tc>
        <w:tc>
          <w:tcPr>
            <w:tcW w:w="1420" w:type="dxa"/>
          </w:tcPr>
          <w:p w14:paraId="0737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6EBB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136F0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平均值</w:t>
            </w:r>
          </w:p>
        </w:tc>
        <w:tc>
          <w:tcPr>
            <w:tcW w:w="1420" w:type="dxa"/>
          </w:tcPr>
          <w:p w14:paraId="4A38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</w:t>
            </w:r>
          </w:p>
        </w:tc>
        <w:tc>
          <w:tcPr>
            <w:tcW w:w="1420" w:type="dxa"/>
          </w:tcPr>
          <w:p w14:paraId="5DDC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217</w:t>
            </w:r>
            <w:r>
              <w:rPr>
                <w:rFonts w:hint="eastAsia"/>
                <w:lang w:val="en-US" w:eastAsia="zh-CN"/>
              </w:rPr>
              <w:t>lx</w:t>
            </w:r>
          </w:p>
        </w:tc>
        <w:tc>
          <w:tcPr>
            <w:tcW w:w="1420" w:type="dxa"/>
          </w:tcPr>
          <w:p w14:paraId="1986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✅合格</w:t>
            </w:r>
          </w:p>
        </w:tc>
      </w:tr>
    </w:tbl>
    <w:p w14:paraId="0651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0B39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（三）疏散与应急照明检测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</w:tblGrid>
      <w:tr w14:paraId="66E1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DABB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点位编号</w:t>
            </w:r>
          </w:p>
        </w:tc>
        <w:tc>
          <w:tcPr>
            <w:tcW w:w="1420" w:type="dxa"/>
          </w:tcPr>
          <w:p w14:paraId="40C8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测点位置</w:t>
            </w:r>
          </w:p>
        </w:tc>
        <w:tc>
          <w:tcPr>
            <w:tcW w:w="1420" w:type="dxa"/>
          </w:tcPr>
          <w:p w14:paraId="0417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实测照度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lx)</w:t>
            </w:r>
          </w:p>
        </w:tc>
        <w:tc>
          <w:tcPr>
            <w:tcW w:w="1420" w:type="dxa"/>
          </w:tcPr>
          <w:p w14:paraId="1AF3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评定</w:t>
            </w:r>
          </w:p>
        </w:tc>
      </w:tr>
      <w:tr w14:paraId="60FD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29B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SJ-01</w:t>
            </w:r>
          </w:p>
        </w:tc>
        <w:tc>
          <w:tcPr>
            <w:tcW w:w="1420" w:type="dxa"/>
          </w:tcPr>
          <w:p w14:paraId="756B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一层疏散楼梯口</w:t>
            </w:r>
          </w:p>
        </w:tc>
        <w:tc>
          <w:tcPr>
            <w:tcW w:w="1420" w:type="dxa"/>
          </w:tcPr>
          <w:p w14:paraId="0F73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115</w:t>
            </w:r>
          </w:p>
        </w:tc>
        <w:tc>
          <w:tcPr>
            <w:tcW w:w="1420" w:type="dxa"/>
          </w:tcPr>
          <w:p w14:paraId="3C7B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5BDC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003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SJ-02</w:t>
            </w:r>
          </w:p>
        </w:tc>
        <w:tc>
          <w:tcPr>
            <w:tcW w:w="1420" w:type="dxa"/>
          </w:tcPr>
          <w:p w14:paraId="2B9B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地下车库通道</w:t>
            </w:r>
          </w:p>
        </w:tc>
        <w:tc>
          <w:tcPr>
            <w:tcW w:w="1420" w:type="dxa"/>
          </w:tcPr>
          <w:p w14:paraId="695A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108</w:t>
            </w:r>
          </w:p>
        </w:tc>
        <w:tc>
          <w:tcPr>
            <w:tcW w:w="1420" w:type="dxa"/>
          </w:tcPr>
          <w:p w14:paraId="374C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32AD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D9B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SJ-03</w:t>
            </w:r>
          </w:p>
        </w:tc>
        <w:tc>
          <w:tcPr>
            <w:tcW w:w="1420" w:type="dxa"/>
          </w:tcPr>
          <w:p w14:paraId="5FEA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设备间疏散门</w:t>
            </w:r>
          </w:p>
        </w:tc>
        <w:tc>
          <w:tcPr>
            <w:tcW w:w="1420" w:type="dxa"/>
          </w:tcPr>
          <w:p w14:paraId="4016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103</w:t>
            </w:r>
          </w:p>
        </w:tc>
        <w:tc>
          <w:tcPr>
            <w:tcW w:w="1420" w:type="dxa"/>
          </w:tcPr>
          <w:p w14:paraId="3213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F42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FD2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平均值</w:t>
            </w:r>
          </w:p>
        </w:tc>
        <w:tc>
          <w:tcPr>
            <w:tcW w:w="1420" w:type="dxa"/>
          </w:tcPr>
          <w:p w14:paraId="23EF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—</w:t>
            </w:r>
          </w:p>
        </w:tc>
        <w:tc>
          <w:tcPr>
            <w:tcW w:w="1420" w:type="dxa"/>
          </w:tcPr>
          <w:p w14:paraId="5153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109</w:t>
            </w:r>
            <w:r>
              <w:rPr>
                <w:rFonts w:hint="eastAsia"/>
                <w:lang w:val="en-US" w:eastAsia="zh-CN"/>
              </w:rPr>
              <w:t>lx</w:t>
            </w:r>
          </w:p>
        </w:tc>
        <w:tc>
          <w:tcPr>
            <w:tcW w:w="1420" w:type="dxa"/>
          </w:tcPr>
          <w:p w14:paraId="3FF6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✅合格</w:t>
            </w:r>
          </w:p>
        </w:tc>
      </w:tr>
    </w:tbl>
    <w:p w14:paraId="00BBF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E80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（四）室外与办公区检测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</w:tblGrid>
      <w:tr w14:paraId="2F02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BD3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点位编号</w:t>
            </w:r>
          </w:p>
        </w:tc>
        <w:tc>
          <w:tcPr>
            <w:tcW w:w="1704" w:type="dxa"/>
          </w:tcPr>
          <w:p w14:paraId="5BD3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测点位置</w:t>
            </w:r>
          </w:p>
        </w:tc>
        <w:tc>
          <w:tcPr>
            <w:tcW w:w="1704" w:type="dxa"/>
          </w:tcPr>
          <w:p w14:paraId="52561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实测照度</w:t>
            </w:r>
            <w:r>
              <w:rPr>
                <w:rFonts w:hint="eastAsia"/>
                <w:lang w:val="en-US" w:eastAsia="zh-CN"/>
              </w:rPr>
              <w:t>(lx)</w:t>
            </w:r>
          </w:p>
        </w:tc>
        <w:tc>
          <w:tcPr>
            <w:tcW w:w="1705" w:type="dxa"/>
          </w:tcPr>
          <w:p w14:paraId="21B0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评定</w:t>
            </w:r>
          </w:p>
        </w:tc>
      </w:tr>
      <w:tr w14:paraId="1287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6A2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WB-01</w:t>
            </w:r>
          </w:p>
        </w:tc>
        <w:tc>
          <w:tcPr>
            <w:tcW w:w="1704" w:type="dxa"/>
          </w:tcPr>
          <w:p w14:paraId="6471D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主入口广场</w:t>
            </w:r>
          </w:p>
        </w:tc>
        <w:tc>
          <w:tcPr>
            <w:tcW w:w="1704" w:type="dxa"/>
          </w:tcPr>
          <w:p w14:paraId="1A0A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168</w:t>
            </w:r>
          </w:p>
        </w:tc>
        <w:tc>
          <w:tcPr>
            <w:tcW w:w="1705" w:type="dxa"/>
          </w:tcPr>
          <w:p w14:paraId="0269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1F57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A5E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WB-02</w:t>
            </w:r>
          </w:p>
        </w:tc>
        <w:tc>
          <w:tcPr>
            <w:tcW w:w="1704" w:type="dxa"/>
          </w:tcPr>
          <w:p w14:paraId="6C3E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办公区桌面</w:t>
            </w:r>
          </w:p>
        </w:tc>
        <w:tc>
          <w:tcPr>
            <w:tcW w:w="1704" w:type="dxa"/>
          </w:tcPr>
          <w:p w14:paraId="6DD6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485</w:t>
            </w:r>
          </w:p>
        </w:tc>
        <w:tc>
          <w:tcPr>
            <w:tcW w:w="1705" w:type="dxa"/>
          </w:tcPr>
          <w:p w14:paraId="6BD8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B23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764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WB-03</w:t>
            </w:r>
          </w:p>
        </w:tc>
        <w:tc>
          <w:tcPr>
            <w:tcW w:w="1704" w:type="dxa"/>
          </w:tcPr>
          <w:p w14:paraId="5558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室外消防通道</w:t>
            </w:r>
          </w:p>
        </w:tc>
        <w:tc>
          <w:tcPr>
            <w:tcW w:w="1704" w:type="dxa"/>
          </w:tcPr>
          <w:p w14:paraId="0A29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152</w:t>
            </w:r>
          </w:p>
        </w:tc>
        <w:tc>
          <w:tcPr>
            <w:tcW w:w="1705" w:type="dxa"/>
          </w:tcPr>
          <w:p w14:paraId="3320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70F0B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CC9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四、绿色照明专项核验</w:t>
      </w:r>
    </w:p>
    <w:p w14:paraId="6032A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节能效果：本次检测区域均采用LED节能光源，功率密度值（PDP）均符合GB 50034-2013中公共建筑一级节能标准。</w:t>
      </w:r>
    </w:p>
    <w:p w14:paraId="4B118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光品质：显色指数（Ra）≥ 80，无频闪，展厅区域无明显眩光，符合文物展示视觉舒适度要求。</w:t>
      </w:r>
    </w:p>
    <w:p w14:paraId="3942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智能控制：展厅及公共区配备感应/时控系统，深夜模式照度降至50lx以下，实测节能效率显著。</w:t>
      </w:r>
    </w:p>
    <w:p w14:paraId="3EA5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五、现场问题与整改建议</w:t>
      </w:r>
    </w:p>
    <w:p w14:paraId="5636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展厅角落亮度微调：个别展陈凹进区照度略低（295 lx），建议加装轨道射灯补光。</w:t>
      </w:r>
    </w:p>
    <w:p w14:paraId="5A2F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地下车库维护：局部灯具表面积尘，需及时清洁以保障光效输出。</w:t>
      </w:r>
    </w:p>
    <w:p w14:paraId="0D8F6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应急照明联动：建议加强断电应急切换测试，确保全馆应急照明毫秒级启动。</w:t>
      </w:r>
    </w:p>
    <w:p w14:paraId="5A5E6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六、综合评定</w:t>
      </w:r>
    </w:p>
    <w:p w14:paraId="0E353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经对本博物馆绿色建筑项目各功能区域进行全面网格布点检测，各区域平均照度值均满足国家现行标准及博物馆专项设计要求，绿色照明系统运行稳定，节能指标达标。</w:t>
      </w:r>
    </w:p>
    <w:p w14:paraId="79A9D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检测结论：合格</w:t>
      </w:r>
    </w:p>
    <w:p w14:paraId="4A3B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日期：2026年03月17日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123C58FA"/>
    <w:rsid w:val="1C3C12E2"/>
    <w:rsid w:val="22233C11"/>
    <w:rsid w:val="2E454CF5"/>
    <w:rsid w:val="331D2CEA"/>
    <w:rsid w:val="33633703"/>
    <w:rsid w:val="33C75702"/>
    <w:rsid w:val="35611C20"/>
    <w:rsid w:val="36CF5679"/>
    <w:rsid w:val="3D677DCC"/>
    <w:rsid w:val="3E9207B3"/>
    <w:rsid w:val="403F4FF6"/>
    <w:rsid w:val="43AD2714"/>
    <w:rsid w:val="43E022A5"/>
    <w:rsid w:val="47AA6C20"/>
    <w:rsid w:val="5D2850E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1974</Words>
  <Characters>2085</Characters>
  <Lines>0</Lines>
  <Paragraphs>0</Paragraphs>
  <TotalTime>11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2026-03-17T13:53:11Z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97CBD1958EE14C38AF87795374EF7E36_13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