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098C">
      <w:pPr>
        <w:pStyle w:val="2"/>
        <w:bidi w:val="0"/>
        <w:rPr>
          <w:rFonts w:hint="eastAsia"/>
        </w:rPr>
      </w:pPr>
      <w:r>
        <w:rPr>
          <w:rFonts w:hint="eastAsia"/>
        </w:rPr>
        <w:t>博物馆绿色建筑项目紧急疏散与应急救护管理制度</w:t>
      </w:r>
    </w:p>
    <w:p w14:paraId="58B7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制度编号：YG-GL-2026-001</w:t>
      </w:r>
    </w:p>
    <w:p w14:paraId="0065C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生效日期：2026年03月17日</w:t>
      </w:r>
    </w:p>
    <w:p w14:paraId="4F9FA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制定部门：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博物馆安全管理部</w:t>
      </w:r>
    </w:p>
    <w:p w14:paraId="7DC4C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第一章 总则</w:t>
      </w:r>
    </w:p>
    <w:p w14:paraId="12815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第一条 编制目的</w:t>
      </w:r>
    </w:p>
    <w:p w14:paraId="4A7F9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为规范本博物馆绿色建筑项目在火灾、地震、极端天气、公共卫生等突发事件下的紧急疏散与应急救护管理，保障人员生命安全，减少财产损失，结合博物馆绿色建筑特性（如大跨度空间、自然通风区、光伏设备区等特殊区域），制定本制度。</w:t>
      </w:r>
    </w:p>
    <w:p w14:paraId="31990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第二条 适用范围</w:t>
      </w:r>
    </w:p>
    <w:p w14:paraId="6A439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本制度适用于博物馆建筑主体、绿色能源设施区（光伏、储能）、展陈库房、办公区、地下车库及所有人员活动区域的应急管理工作。</w:t>
      </w:r>
    </w:p>
    <w:p w14:paraId="68FF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第二章 组织机构与职责</w:t>
      </w:r>
    </w:p>
    <w:p w14:paraId="30C8E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第三条 应急领导小组</w:t>
      </w:r>
    </w:p>
    <w:p w14:paraId="3DF4C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组长：馆长/项目负责人</w:t>
      </w:r>
    </w:p>
    <w:p w14:paraId="0215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副组长：安全总监、绿色建筑运维主管</w:t>
      </w:r>
    </w:p>
    <w:p w14:paraId="75DAF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成员：安保部、工程部、展陈部、行政部负责人</w:t>
      </w:r>
    </w:p>
    <w:p w14:paraId="2E331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主要职责：决策应急方案、调配资源、对外联络、统一指挥。</w:t>
      </w:r>
    </w:p>
    <w:p w14:paraId="4CC9E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第四条 专项工作组职责</w:t>
      </w:r>
    </w:p>
    <w:p w14:paraId="46358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疏散引导组（安保部）：负责人员引导、通道畅通性排查、封控危险区域。</w:t>
      </w:r>
    </w:p>
    <w:p w14:paraId="3C778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应急救护组（医护/安保急救员）：负责现场伤员救治、医疗物资管理、联系120。</w:t>
      </w:r>
    </w:p>
    <w:p w14:paraId="7991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工程抢险组（工程部）：负责切断电源、气源、水源，关停绿色设备（如光伏逆变器），排查结构隐患。</w:t>
      </w:r>
    </w:p>
    <w:p w14:paraId="1C3A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后勤保障组（行政部）：负责物资供应、通讯保障、善后处理。</w:t>
      </w:r>
    </w:p>
    <w:p w14:paraId="3299A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第三章 紧急疏散管理</w:t>
      </w:r>
    </w:p>
    <w:p w14:paraId="28F31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7A11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第五条 疏散基本原则</w:t>
      </w:r>
    </w:p>
    <w:p w14:paraId="4CD50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安全第一：优先保证老弱病残孕及儿童疏散，人员不贪恋财物。</w:t>
      </w:r>
    </w:p>
    <w:p w14:paraId="64361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就近疏散：依据疏散指示标志，向最近安全出口撤离，严禁逆向流动。</w:t>
      </w:r>
    </w:p>
    <w:p w14:paraId="77F7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垂直疏散：绿色建筑大跨度空间多采用中庭设计，利用疏散楼梯、连廊快速撤离，避免停留中庭开口处。</w:t>
      </w:r>
    </w:p>
    <w:p w14:paraId="372F5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远离危险源：远离光伏设备区、变配电室、燃油机房及外墙玻璃坠落区。</w:t>
      </w:r>
    </w:p>
    <w:p w14:paraId="66A6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第六条 疏散路线与设施</w:t>
      </w:r>
    </w:p>
    <w:p w14:paraId="7F58A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疏散通道：确保消防车道、疏散楼梯、前室、连廊等24小时畅通，严禁堆放绿色建筑材料或杂物。</w:t>
      </w:r>
    </w:p>
    <w:p w14:paraId="48C47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照明指示：应急照明、疏散指示标志（绿光）完好率100%，在断电情况下自动启动。</w:t>
      </w:r>
    </w:p>
    <w:p w14:paraId="0614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集结区域：设定室外安全集结点（如广场、绿地），并在显著位置公示疏散路线图。</w:t>
      </w:r>
    </w:p>
    <w:p w14:paraId="3B548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第七条 疏散程序</w:t>
      </w:r>
    </w:p>
    <w:p w14:paraId="62EF9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报警与启动：发现火情或异常，立即拨打119，并上报应急领导小组，启动应急预案。</w:t>
      </w:r>
    </w:p>
    <w:p w14:paraId="3FE6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广播引导：通过广播系统清晰播报疏散指令（如“请注意，一楼东侧发生火情，请大家沿疏散指示标志，从最近的安全出口有序撤离”）。</w:t>
      </w:r>
    </w:p>
    <w:p w14:paraId="59546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人员撤离：</w:t>
      </w:r>
    </w:p>
    <w:p w14:paraId="52841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展厅人员：听从指引，沿展厅侧门、连廊快速撤离至室外。</w:t>
      </w:r>
    </w:p>
    <w:p w14:paraId="4D4F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库房人员：优先撤离库房外人员，库房留守人员关闭保温门后撤离。</w:t>
      </w:r>
    </w:p>
    <w:p w14:paraId="6916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办公人员：关闭电脑、电源，沿办公区疏散楼梯撤离。</w:t>
      </w:r>
    </w:p>
    <w:p w14:paraId="7E96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清点与上报：人员到达集结点后，各部门负责人立即清点人数，并上报领导小组。</w:t>
      </w:r>
    </w:p>
    <w:p w14:paraId="6000A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第四章 应急救护管理</w:t>
      </w:r>
    </w:p>
    <w:p w14:paraId="0319A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第八条 救护原则</w:t>
      </w:r>
    </w:p>
    <w:p w14:paraId="624E9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先救命后治伤：优先处理心跳呼吸骤停、大出血、骨折等危及生命的情况。</w:t>
      </w:r>
    </w:p>
    <w:p w14:paraId="6A8C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快速有效：在专业医护人员到达前，实施初步急救。</w:t>
      </w:r>
    </w:p>
    <w:p w14:paraId="003F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第九条 急救设施与人员</w:t>
      </w:r>
    </w:p>
    <w:p w14:paraId="0F97C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配置标准：博物馆各楼层、展厅入口、安保值班室配备AED（自动体外除颤器）、急救箱（含绷带、止血带、消毒液、心肺复苏面罩等）。</w:t>
      </w:r>
    </w:p>
    <w:p w14:paraId="00DA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人员培训：全体安保人员、部分工程部及展陈人员需通过红十字会急救培训，持证上岗。</w:t>
      </w:r>
    </w:p>
    <w:p w14:paraId="75690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第十条 救护程序</w:t>
      </w:r>
    </w:p>
    <w:p w14:paraId="1A557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071D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现场评估：确认现场环境安全，避免施救者与伤员二次伤害。</w:t>
      </w:r>
    </w:p>
    <w:p w14:paraId="1D98A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初步判断：检查伤员意识、呼吸、脉搏。</w:t>
      </w:r>
    </w:p>
    <w:p w14:paraId="5A47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紧急处置：</w:t>
      </w:r>
    </w:p>
    <w:p w14:paraId="66128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心跳呼吸骤停：立即实施心肺复苏（CPR）并使用AED。</w:t>
      </w:r>
    </w:p>
    <w:p w14:paraId="0F490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大出血：使用止血带或加压包扎止血。</w:t>
      </w:r>
    </w:p>
    <w:p w14:paraId="54F4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骨折：就地固定，避免移动骨折部位。</w:t>
      </w:r>
    </w:p>
    <w:p w14:paraId="42C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烧伤：用干净敷料覆盖，避免涂抹任何药物。</w:t>
      </w:r>
    </w:p>
    <w:p w14:paraId="1370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转运交接：拨打120，安排人员接应，并将伤员安全移交医护人员。</w:t>
      </w:r>
    </w:p>
    <w:p w14:paraId="4B98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第五章 特殊情况处理</w:t>
      </w:r>
    </w:p>
    <w:p w14:paraId="4055E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第十一条 绿色建筑特殊区域应对</w:t>
      </w:r>
    </w:p>
    <w:p w14:paraId="07BDE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光伏设备区：发生火灾时，工程抢险组需先切断光伏逆变器电源，再进行灭火，防止触电。</w:t>
      </w:r>
    </w:p>
    <w:p w14:paraId="16C9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自然通风/采光顶区域：发生地震等灾害时，严禁人员停留采光顶下方或通风口附近，防止坠物伤人。</w:t>
      </w:r>
    </w:p>
    <w:p w14:paraId="1449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第十二条 极端天气与次生灾害</w:t>
      </w:r>
    </w:p>
    <w:p w14:paraId="3D334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台风/暴雨前：加固户外展陈设施、绿植，检查地下车库排水系统。</w:t>
      </w:r>
    </w:p>
    <w:p w14:paraId="7D0FE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地震发生时：遵循“伏地、遮挡、手抓牢”原则，躲避在结实家具旁或墙角，远离幕墙玻璃、高柜。</w:t>
      </w:r>
    </w:p>
    <w:p w14:paraId="0BF5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第六章 培训与演练</w:t>
      </w:r>
    </w:p>
    <w:p w14:paraId="62CA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第十三条 培训</w:t>
      </w:r>
    </w:p>
    <w:p w14:paraId="77F59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新员工入职必须接受应急疏散与救护培训。</w:t>
      </w:r>
    </w:p>
    <w:p w14:paraId="4A30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每年组织不少于2次全员应急知识培训，内容包含AED使用、灭火器操作、疏散路线等。</w:t>
      </w:r>
    </w:p>
    <w:p w14:paraId="6068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第十四条 演练</w:t>
      </w:r>
    </w:p>
    <w:p w14:paraId="50E6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每半年组织一次综合应急演练（含疏散与救护）。</w:t>
      </w:r>
    </w:p>
    <w:p w14:paraId="7D0DB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演练需结合博物馆建筑结构特点，重点考核大空间疏散效率与光伏区域安全处置能力。</w:t>
      </w:r>
    </w:p>
    <w:p w14:paraId="579B6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演练结束后进行评估，改进应急预案。</w:t>
      </w:r>
    </w:p>
    <w:p w14:paraId="4BDEF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第七章 物资与经费保障</w:t>
      </w:r>
    </w:p>
    <w:p w14:paraId="466F4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第十五条 物资管理</w:t>
      </w:r>
    </w:p>
    <w:p w14:paraId="517A3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建立应急物资台账，定期检查AED、急救箱、灭火器、应急照明等设备的完好性。</w:t>
      </w:r>
    </w:p>
    <w:p w14:paraId="35F1A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6B82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物资由后勤保障组专人负责，定期更换过期药品。</w:t>
      </w:r>
    </w:p>
    <w:p w14:paraId="5FC3F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第十六条 经费保障</w:t>
      </w:r>
    </w:p>
    <w:p w14:paraId="225EF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博物馆设立专项应急管理经费，用于物资采购、培训演练、设备维护。</w:t>
      </w:r>
    </w:p>
    <w:p w14:paraId="17128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第八章 附则</w:t>
      </w:r>
    </w:p>
    <w:p w14:paraId="3200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第十七条 责任追究</w:t>
      </w:r>
      <w:bookmarkStart w:id="0" w:name="_GoBack"/>
      <w:bookmarkEnd w:id="0"/>
    </w:p>
    <w:p w14:paraId="064B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对在突发事件中玩忽职守、违抗命令、疏散不力造成严重后果的，依法追究责任。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22233C11"/>
    <w:rsid w:val="2E454CF5"/>
    <w:rsid w:val="331D2CEA"/>
    <w:rsid w:val="33633703"/>
    <w:rsid w:val="33C75702"/>
    <w:rsid w:val="35611C20"/>
    <w:rsid w:val="36CF5679"/>
    <w:rsid w:val="3E9207B3"/>
    <w:rsid w:val="43AD2714"/>
    <w:rsid w:val="43E022A5"/>
    <w:rsid w:val="47AA6C20"/>
    <w:rsid w:val="5D2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1974</Words>
  <Characters>2085</Characters>
  <Lines>0</Lines>
  <Paragraphs>0</Paragraphs>
  <TotalTime>32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C3BB3FB8F6A4489EBAE877370C3A8AC2_13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