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2612C">
      <w:pPr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博物馆绿色建筑评价指标计算书</w:t>
      </w:r>
    </w:p>
    <w:p w14:paraId="202F482D">
      <w:pPr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博物馆新建工程</w:t>
      </w:r>
    </w:p>
    <w:p w14:paraId="2772B723">
      <w:pPr>
        <w:rPr>
          <w:rFonts w:hint="eastAsia"/>
          <w:lang w:val="en-US" w:eastAsia="zh-CN"/>
        </w:rPr>
      </w:pPr>
      <w:r>
        <w:rPr>
          <w:rFonts w:hint="eastAsia"/>
        </w:rPr>
        <w:t>计算单位：</w:t>
      </w:r>
      <w:r>
        <w:rPr>
          <w:rFonts w:hint="eastAsia"/>
          <w:lang w:val="en-US" w:eastAsia="zh-CN"/>
        </w:rPr>
        <w:t>黄淮学院</w:t>
      </w:r>
    </w:p>
    <w:p w14:paraId="1A54A4F3">
      <w:pPr>
        <w:rPr>
          <w:rFonts w:hint="eastAsia"/>
        </w:rPr>
      </w:pPr>
      <w:r>
        <w:rPr>
          <w:rFonts w:hint="eastAsia"/>
        </w:rPr>
        <w:t>计算日期：2026年03月15日</w:t>
      </w:r>
    </w:p>
    <w:p w14:paraId="5D3F24FE">
      <w:pPr>
        <w:rPr>
          <w:rFonts w:hint="eastAsia"/>
        </w:rPr>
      </w:pPr>
      <w:r>
        <w:rPr>
          <w:rFonts w:hint="eastAsia"/>
        </w:rPr>
        <w:t>项目编号：LB‑JS‑20260315</w:t>
      </w:r>
    </w:p>
    <w:p w14:paraId="19634967">
      <w:pPr>
        <w:rPr>
          <w:rFonts w:hint="eastAsia"/>
        </w:rPr>
      </w:pPr>
      <w:r>
        <w:rPr>
          <w:rFonts w:hint="eastAsia"/>
        </w:rPr>
        <w:t>一、项目基础信息</w:t>
      </w:r>
    </w:p>
    <w:p w14:paraId="7283C8D2">
      <w:pPr>
        <w:rPr>
          <w:rFonts w:hint="eastAsia"/>
        </w:rPr>
      </w:pPr>
      <w:r>
        <w:rPr>
          <w:rFonts w:hint="eastAsia"/>
        </w:rPr>
        <w:t xml:space="preserve">指标名称 数值 </w:t>
      </w:r>
    </w:p>
    <w:p w14:paraId="55F60C8C">
      <w:pPr>
        <w:rPr>
          <w:rFonts w:hint="eastAsia"/>
        </w:rPr>
      </w:pPr>
      <w:r>
        <w:rPr>
          <w:rFonts w:hint="eastAsia"/>
        </w:rPr>
        <w:t xml:space="preserve">规划总用地面积 18750 ㎡ </w:t>
      </w:r>
    </w:p>
    <w:p w14:paraId="1E2D37BD">
      <w:pPr>
        <w:rPr>
          <w:rFonts w:hint="eastAsia"/>
        </w:rPr>
      </w:pPr>
      <w:r>
        <w:rPr>
          <w:rFonts w:hint="eastAsia"/>
        </w:rPr>
        <w:t xml:space="preserve">建筑基地面积 2800 ㎡ </w:t>
      </w:r>
    </w:p>
    <w:p w14:paraId="1B4754C4">
      <w:pPr>
        <w:rPr>
          <w:rFonts w:hint="eastAsia"/>
        </w:rPr>
      </w:pPr>
      <w:r>
        <w:rPr>
          <w:rFonts w:hint="eastAsia"/>
        </w:rPr>
        <w:t xml:space="preserve">总建筑面积 6981 ㎡ </w:t>
      </w:r>
    </w:p>
    <w:p w14:paraId="4071BEDB">
      <w:pPr>
        <w:rPr>
          <w:rFonts w:hint="eastAsia"/>
        </w:rPr>
      </w:pPr>
      <w:r>
        <w:rPr>
          <w:rFonts w:hint="eastAsia"/>
        </w:rPr>
        <w:t xml:space="preserve">地上建筑面积 6981 ㎡ </w:t>
      </w:r>
    </w:p>
    <w:p w14:paraId="7F84FC4F">
      <w:pPr>
        <w:rPr>
          <w:rFonts w:hint="eastAsia"/>
        </w:rPr>
      </w:pPr>
      <w:r>
        <w:rPr>
          <w:rFonts w:hint="eastAsia"/>
        </w:rPr>
        <w:t xml:space="preserve">地下建筑面积 0 ㎡ </w:t>
      </w:r>
    </w:p>
    <w:p w14:paraId="5367F4FD">
      <w:pPr>
        <w:rPr>
          <w:rFonts w:hint="eastAsia"/>
        </w:rPr>
      </w:pPr>
      <w:r>
        <w:rPr>
          <w:rFonts w:hint="eastAsia"/>
        </w:rPr>
        <w:t xml:space="preserve">建筑层数 3 层 </w:t>
      </w:r>
    </w:p>
    <w:p w14:paraId="56265A7B">
      <w:pPr>
        <w:rPr>
          <w:rFonts w:hint="eastAsia"/>
        </w:rPr>
      </w:pPr>
      <w:r>
        <w:rPr>
          <w:rFonts w:hint="eastAsia"/>
        </w:rPr>
        <w:t xml:space="preserve">建筑高度 15.9 m </w:t>
      </w:r>
    </w:p>
    <w:p w14:paraId="5C7AD955">
      <w:pPr>
        <w:rPr>
          <w:rFonts w:hint="eastAsia"/>
        </w:rPr>
      </w:pPr>
      <w:r>
        <w:rPr>
          <w:rFonts w:hint="eastAsia"/>
        </w:rPr>
        <w:t xml:space="preserve">容积率 0.4 </w:t>
      </w:r>
    </w:p>
    <w:p w14:paraId="15C5B57B">
      <w:pPr>
        <w:rPr>
          <w:rFonts w:hint="eastAsia"/>
        </w:rPr>
      </w:pPr>
      <w:r>
        <w:rPr>
          <w:rFonts w:hint="eastAsia"/>
        </w:rPr>
        <w:t xml:space="preserve">建筑密度 14.93% </w:t>
      </w:r>
    </w:p>
    <w:p w14:paraId="1023224C">
      <w:pPr>
        <w:rPr>
          <w:rFonts w:hint="eastAsia"/>
        </w:rPr>
      </w:pPr>
      <w:r>
        <w:rPr>
          <w:rFonts w:hint="eastAsia"/>
        </w:rPr>
        <w:t xml:space="preserve">绿地率 32% </w:t>
      </w:r>
    </w:p>
    <w:p w14:paraId="2EE528B7">
      <w:pPr>
        <w:rPr>
          <w:rFonts w:hint="eastAsia"/>
        </w:rPr>
      </w:pPr>
      <w:r>
        <w:rPr>
          <w:rFonts w:hint="eastAsia"/>
        </w:rPr>
        <w:t xml:space="preserve">体形系数 0.26 </w:t>
      </w:r>
    </w:p>
    <w:p w14:paraId="2F5E19A4">
      <w:pPr>
        <w:rPr>
          <w:rFonts w:hint="eastAsia"/>
        </w:rPr>
      </w:pPr>
      <w:r>
        <w:rPr>
          <w:rFonts w:hint="eastAsia"/>
        </w:rPr>
        <w:t xml:space="preserve">窗墙比 0.12 </w:t>
      </w:r>
    </w:p>
    <w:p w14:paraId="15D5EEB3">
      <w:pPr>
        <w:rPr>
          <w:rFonts w:hint="eastAsia"/>
        </w:rPr>
      </w:pPr>
      <w:r>
        <w:rPr>
          <w:rFonts w:hint="eastAsia"/>
        </w:rPr>
        <w:t xml:space="preserve">PMV -0.16 </w:t>
      </w:r>
    </w:p>
    <w:p w14:paraId="6969B2EC">
      <w:pPr>
        <w:rPr>
          <w:rFonts w:hint="eastAsia"/>
        </w:rPr>
      </w:pPr>
      <w:r>
        <w:rPr>
          <w:rFonts w:hint="eastAsia"/>
        </w:rPr>
        <w:t xml:space="preserve">PPD 5.47% </w:t>
      </w:r>
    </w:p>
    <w:p w14:paraId="3191F8BA">
      <w:pPr>
        <w:rPr>
          <w:rFonts w:hint="eastAsia"/>
        </w:rPr>
      </w:pPr>
      <w:r>
        <w:rPr>
          <w:rFonts w:hint="eastAsia"/>
        </w:rPr>
        <w:t>二、绿地率专项计算书</w:t>
      </w:r>
    </w:p>
    <w:p w14:paraId="23D6B2BB">
      <w:pPr>
        <w:rPr>
          <w:rFonts w:hint="eastAsia"/>
        </w:rPr>
      </w:pPr>
      <w:r>
        <w:rPr>
          <w:rFonts w:hint="eastAsia"/>
        </w:rPr>
        <w:t>（一）计算依据</w:t>
      </w:r>
    </w:p>
    <w:p w14:paraId="1B5524A8">
      <w:pPr>
        <w:rPr>
          <w:rFonts w:hint="eastAsia"/>
        </w:rPr>
      </w:pPr>
      <w:r>
        <w:rPr>
          <w:rFonts w:hint="eastAsia"/>
        </w:rPr>
        <w:t>1. 《城市用地分类与规划建设用地标准》（GB 50137-2011）</w:t>
      </w:r>
    </w:p>
    <w:p w14:paraId="004C55E7">
      <w:pPr>
        <w:rPr>
          <w:rFonts w:hint="eastAsia"/>
        </w:rPr>
      </w:pPr>
      <w:r>
        <w:rPr>
          <w:rFonts w:hint="eastAsia"/>
        </w:rPr>
        <w:t>2. 《城市绿地设计规范》（GB 50420-2007）</w:t>
      </w:r>
    </w:p>
    <w:p w14:paraId="1252607B">
      <w:pPr>
        <w:rPr>
          <w:rFonts w:hint="eastAsia"/>
        </w:rPr>
      </w:pPr>
      <w:r>
        <w:rPr>
          <w:rFonts w:hint="eastAsia"/>
        </w:rPr>
        <w:t>3. 《绿色建筑评价标准》（GB/T 50378-2019）</w:t>
      </w:r>
    </w:p>
    <w:p w14:paraId="5B07532E">
      <w:pPr>
        <w:rPr>
          <w:rFonts w:hint="eastAsia"/>
        </w:rPr>
      </w:pPr>
      <w:r>
        <w:rPr>
          <w:rFonts w:hint="eastAsia"/>
        </w:rPr>
        <w:t>4. 本项目总平面图及经济技术指标表</w:t>
      </w:r>
    </w:p>
    <w:p w14:paraId="2AE37EF7">
      <w:pPr>
        <w:rPr>
          <w:rFonts w:hint="eastAsia"/>
        </w:rPr>
      </w:pPr>
      <w:r>
        <w:rPr>
          <w:rFonts w:hint="eastAsia"/>
        </w:rPr>
        <w:t>（二）绿地组成与范围</w:t>
      </w:r>
    </w:p>
    <w:p w14:paraId="70BA8002">
      <w:pPr>
        <w:rPr>
          <w:rFonts w:hint="eastAsia"/>
        </w:rPr>
      </w:pPr>
      <w:r>
        <w:rPr>
          <w:rFonts w:hint="eastAsia"/>
        </w:rPr>
        <w:t>本项目绿地全部面向社会公众开放共享，包含：</w:t>
      </w:r>
    </w:p>
    <w:p w14:paraId="4F66F0FB">
      <w:pPr>
        <w:rPr>
          <w:rFonts w:hint="eastAsia"/>
        </w:rPr>
      </w:pPr>
      <w:r>
        <w:rPr>
          <w:rFonts w:hint="eastAsia"/>
        </w:rPr>
        <w:t>集中公共绿地：场地东侧滨水景观绿地，为市民提供休闲游憩空间</w:t>
      </w:r>
    </w:p>
    <w:p w14:paraId="0A9EA7BA">
      <w:pPr>
        <w:rPr>
          <w:rFonts w:hint="eastAsia"/>
        </w:rPr>
      </w:pPr>
      <w:r>
        <w:rPr>
          <w:rFonts w:hint="eastAsia"/>
        </w:rPr>
        <w:t>建筑周边防护绿地：建筑四周绿化带，隔离城市噪音、美化环境</w:t>
      </w:r>
    </w:p>
    <w:p w14:paraId="45A37E01">
      <w:pPr>
        <w:rPr>
          <w:rFonts w:hint="eastAsia"/>
        </w:rPr>
      </w:pPr>
      <w:r>
        <w:rPr>
          <w:rFonts w:hint="eastAsia"/>
        </w:rPr>
        <w:t>道路绿化带：沿城市支路、生活支路布置的行道树与绿篱</w:t>
      </w:r>
    </w:p>
    <w:p w14:paraId="240C9809">
      <w:pPr>
        <w:rPr>
          <w:rFonts w:hint="eastAsia"/>
        </w:rPr>
      </w:pPr>
      <w:r>
        <w:rPr>
          <w:rFonts w:hint="eastAsia"/>
        </w:rPr>
        <w:t>林下休憩绿地：场地内树阵广场及林下空间，兼顾生态与使用功能</w:t>
      </w:r>
    </w:p>
    <w:p w14:paraId="37502DC3">
      <w:pPr>
        <w:rPr>
          <w:rFonts w:hint="eastAsia"/>
        </w:rPr>
      </w:pPr>
      <w:r>
        <w:rPr>
          <w:rFonts w:hint="eastAsia"/>
        </w:rPr>
        <w:t>（三）计算公式</w:t>
      </w:r>
    </w:p>
    <w:p w14:paraId="46094F2D">
      <w:pPr>
        <w:rPr>
          <w:rFonts w:hint="eastAsia"/>
        </w:rPr>
      </w:pPr>
    </w:p>
    <w:p w14:paraId="265D977F">
      <w:pPr>
        <w:rPr>
          <w:rFonts w:hint="eastAsia"/>
        </w:rPr>
      </w:pPr>
      <m:oMathPara>
        <m:oMath>
          <m:r>
            <m:rPr>
              <m:sty m:val="p"/>
            </m:rPr>
            <w:rPr>
              <w:rFonts w:hint="default" w:ascii="Cambria Math" w:hAnsi="Cambria Math"/>
              <w:sz w:val="21"/>
            </w:rPr>
            <m:t>绿地率</m:t>
          </m:r>
          <m:r>
            <m:rPr/>
            <w:rPr>
              <w:rFonts w:hint="default" w:ascii="Cambria Math" w:hAnsi="Cambria Math"/>
              <w:sz w:val="21"/>
            </w:rPr>
            <m:t>=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/>
                  <w:sz w:val="21"/>
                </w:rPr>
                <m:t>绿地总面积</m:t>
              </m:r>
              <m:ctrlPr>
                <w:rPr>
                  <w:rFonts w:ascii="Cambria Math" w:hAnsi="Cambria Math"/>
                  <w:sz w:val="21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/>
                  <w:sz w:val="21"/>
                </w:rPr>
                <m:t>规划总用地面积</m:t>
              </m:r>
              <m:ctrlPr>
                <w:rPr>
                  <w:rFonts w:ascii="Cambria Math" w:hAnsi="Cambria Math"/>
                  <w:sz w:val="21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/>
              <w:sz w:val="21"/>
            </w:rPr>
            <m:t>×</m:t>
          </m:r>
          <m:r>
            <m:rPr/>
            <w:rPr>
              <w:rFonts w:hint="default" w:ascii="Cambria Math" w:hAnsi="Cambria Math"/>
              <w:sz w:val="21"/>
            </w:rPr>
            <m:t>100%</m:t>
          </m:r>
        </m:oMath>
      </m:oMathPara>
    </w:p>
    <w:p w14:paraId="6B8FEBD7">
      <w:pPr>
        <w:rPr>
          <w:rFonts w:hint="eastAsia"/>
        </w:rPr>
      </w:pPr>
    </w:p>
    <w:p w14:paraId="0E5EBD2D">
      <w:pPr>
        <w:rPr>
          <w:rFonts w:hint="eastAsia"/>
        </w:rPr>
      </w:pPr>
      <w:r>
        <w:rPr>
          <w:rFonts w:hint="eastAsia"/>
        </w:rPr>
        <w:t>（四）计算过程</w:t>
      </w:r>
    </w:p>
    <w:p w14:paraId="66E01CA5">
      <w:pPr>
        <w:rPr>
          <w:rFonts w:hint="eastAsia"/>
        </w:rPr>
      </w:pPr>
    </w:p>
    <w:p w14:paraId="375F1FE7">
      <w:pPr>
        <w:rPr>
          <w:rFonts w:hint="eastAsia"/>
        </w:rPr>
      </w:pPr>
      <m:oMathPara>
        <m:oMath>
          <m:r>
            <m:rPr>
              <m:sty m:val="p"/>
            </m:rPr>
            <w:rPr>
              <w:rFonts w:hint="default" w:ascii="Cambria Math" w:hAnsi="Cambria Math"/>
              <w:sz w:val="21"/>
            </w:rPr>
            <m:t>绿地总面积</m:t>
          </m:r>
          <m:r>
            <m:rPr/>
            <w:rPr>
              <w:rFonts w:hint="default" w:ascii="Cambria Math" w:hAnsi="Cambria Math"/>
              <w:sz w:val="21"/>
            </w:rPr>
            <m:t>=18750 </m:t>
          </m:r>
          <m:r>
            <m:rPr>
              <m:sty m:val="p"/>
            </m:rPr>
            <w:rPr>
              <w:rFonts w:hint="default" w:ascii="Cambria Math" w:hAnsi="Cambria Math"/>
              <w:sz w:val="21"/>
            </w:rPr>
            <m:t>㎡×</m:t>
          </m:r>
          <m:r>
            <m:rPr/>
            <w:rPr>
              <w:rFonts w:hint="default" w:ascii="Cambria Math" w:hAnsi="Cambria Math"/>
              <w:sz w:val="21"/>
            </w:rPr>
            <m:t>32%</m:t>
          </m:r>
        </m:oMath>
      </m:oMathPara>
    </w:p>
    <w:p w14:paraId="7CA90CC0">
      <w:pPr>
        <w:ind w:firstLine="1890" w:firstLineChars="900"/>
        <w:rPr>
          <w:rFonts w:hint="eastAsia"/>
        </w:rPr>
      </w:pPr>
      <m:oMathPara>
        <m:oMath>
          <m:r>
            <m:rPr/>
            <w:rPr>
              <w:rFonts w:hint="default" w:ascii="Cambria Math" w:hAnsi="Cambria Math"/>
              <w:sz w:val="21"/>
            </w:rPr>
            <m:t>=18750</m:t>
          </m:r>
          <m:r>
            <m:rPr>
              <m:sty m:val="p"/>
            </m:rPr>
            <w:rPr>
              <w:rFonts w:hint="default" w:ascii="Cambria Math" w:hAnsi="Cambria Math"/>
              <w:sz w:val="21"/>
            </w:rPr>
            <m:t>×</m:t>
          </m:r>
          <m:r>
            <m:rPr/>
            <w:rPr>
              <w:rFonts w:hint="default" w:ascii="Cambria Math" w:hAnsi="Cambria Math"/>
              <w:sz w:val="21"/>
            </w:rPr>
            <m:t>0.32</m:t>
          </m:r>
        </m:oMath>
      </m:oMathPara>
    </w:p>
    <w:p w14:paraId="3C58A2BD">
      <w:pPr>
        <w:rPr>
          <w:rFonts w:hint="eastAsia"/>
        </w:rPr>
      </w:pPr>
      <m:oMathPara>
        <m:oMath>
          <m:r>
            <m:rPr/>
            <w:rPr>
              <w:rFonts w:hint="default" w:ascii="Cambria Math" w:hAnsi="Cambria Math"/>
              <w:sz w:val="21"/>
            </w:rPr>
            <m:t>=6000 </m:t>
          </m:r>
          <m:r>
            <m:rPr>
              <m:sty m:val="p"/>
            </m:rPr>
            <w:rPr>
              <w:rFonts w:hint="default" w:ascii="Cambria Math" w:hAnsi="Cambria Math"/>
              <w:sz w:val="21"/>
            </w:rPr>
            <m:t>㎡</m:t>
          </m:r>
        </m:oMath>
      </m:oMathPara>
      <w:bookmarkStart w:id="0" w:name="_GoBack"/>
      <w:bookmarkEnd w:id="0"/>
    </w:p>
    <w:p w14:paraId="62FEE003">
      <w:pPr>
        <w:rPr>
          <w:rFonts w:hint="eastAsia"/>
        </w:rPr>
      </w:pPr>
      <m:oMathPara>
        <m:oMath>
          <m:r>
            <m:rPr>
              <m:sty m:val="p"/>
            </m:rPr>
            <w:rPr>
              <w:rFonts w:hint="default" w:ascii="Cambria Math" w:hAnsi="Cambria Math"/>
              <w:sz w:val="21"/>
            </w:rPr>
            <m:t>绿地率</m:t>
          </m:r>
          <m:r>
            <m:rPr/>
            <w:rPr>
              <w:rFonts w:hint="default" w:ascii="Cambria Math" w:hAnsi="Cambria Math"/>
              <w:sz w:val="21"/>
            </w:rPr>
            <m:t>=</m:t>
          </m:r>
          <m:f>
            <m:fPr>
              <m:ctrlPr>
                <w:rPr>
                  <w:rFonts w:hint="default" w:ascii="Cambria Math" w:hAnsi="Cambria Math"/>
                  <w:i/>
                  <w:sz w:val="21"/>
                </w:rPr>
              </m:ctrlPr>
            </m:fPr>
            <m:num>
              <m:r>
                <m:rPr/>
                <w:rPr>
                  <w:rFonts w:hint="default" w:ascii="Cambria Math" w:hAnsi="Cambria Math"/>
                  <w:sz w:val="21"/>
                </w:rPr>
                <m:t>6000 </m:t>
              </m:r>
              <m:r>
                <m:rPr>
                  <m:sty m:val="p"/>
                </m:rPr>
                <w:rPr>
                  <w:rFonts w:hint="default" w:ascii="Cambria Math" w:hAnsi="Cambria Math"/>
                  <w:sz w:val="21"/>
                </w:rPr>
                <m:t>㎡</m:t>
              </m:r>
              <m:ctrlPr>
                <w:rPr>
                  <w:rFonts w:ascii="Cambria Math" w:hAnsi="Cambria Math"/>
                  <w:sz w:val="21"/>
                </w:rPr>
              </m:ctrlPr>
            </m:num>
            <m:den>
              <m:r>
                <m:rPr/>
                <w:rPr>
                  <w:rFonts w:hint="default" w:ascii="Cambria Math" w:hAnsi="Cambria Math"/>
                  <w:sz w:val="21"/>
                </w:rPr>
                <m:t>18750 </m:t>
              </m:r>
              <m:r>
                <m:rPr>
                  <m:sty m:val="p"/>
                </m:rPr>
                <w:rPr>
                  <w:rFonts w:hint="default" w:ascii="Cambria Math" w:hAnsi="Cambria Math"/>
                  <w:sz w:val="21"/>
                </w:rPr>
                <m:t>㎡</m:t>
              </m:r>
              <m:ctrlPr>
                <w:rPr>
                  <w:rFonts w:ascii="Cambria Math" w:hAnsi="Cambria Math"/>
                  <w:sz w:val="21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/>
              <w:sz w:val="21"/>
            </w:rPr>
            <m:t>×</m:t>
          </m:r>
          <m:r>
            <m:rPr/>
            <w:rPr>
              <w:rFonts w:hint="default" w:ascii="Cambria Math" w:hAnsi="Cambria Math"/>
              <w:sz w:val="21"/>
            </w:rPr>
            <m:t>100%=32%</m:t>
          </m:r>
        </m:oMath>
      </m:oMathPara>
    </w:p>
    <w:p w14:paraId="2FA5C974">
      <w:pPr>
        <w:rPr>
          <w:rFonts w:hint="eastAsia"/>
        </w:rPr>
      </w:pPr>
      <w:r>
        <w:rPr>
          <w:rFonts w:hint="eastAsia"/>
        </w:rPr>
        <w:t>（五）结论</w:t>
      </w:r>
    </w:p>
    <w:p w14:paraId="39ACC0D8">
      <w:pPr>
        <w:rPr>
          <w:rFonts w:hint="eastAsia"/>
        </w:rPr>
      </w:pPr>
      <w:r>
        <w:rPr>
          <w:rFonts w:hint="eastAsia"/>
        </w:rPr>
        <w:t>本项目绿地率为32%，符合城市规划条件、公共文化建筑绿地指标及绿色建筑评价标准，绿地布局均衡、生态效益良好，且全部面向社会公众开放，满足“拆墙透绿、开放共享”的公共文化服务要求。</w:t>
      </w:r>
    </w:p>
    <w:p w14:paraId="7CFEB7B8">
      <w:pPr>
        <w:rPr>
          <w:rFonts w:hint="eastAsia"/>
        </w:rPr>
      </w:pPr>
      <w:r>
        <w:rPr>
          <w:rFonts w:hint="eastAsia"/>
        </w:rPr>
        <w:t>三、绿色建筑核心指标计算</w:t>
      </w:r>
    </w:p>
    <w:p w14:paraId="23AD04F4">
      <w:pPr>
        <w:rPr>
          <w:rFonts w:hint="eastAsia"/>
        </w:rPr>
      </w:pPr>
      <w:r>
        <w:rPr>
          <w:rFonts w:hint="eastAsia"/>
        </w:rPr>
        <w:t>（一）节地与室外环境</w:t>
      </w:r>
    </w:p>
    <w:p w14:paraId="4BB110F4">
      <w:pPr>
        <w:rPr>
          <w:rFonts w:hint="eastAsia"/>
        </w:rPr>
      </w:pPr>
      <w:r>
        <w:rPr>
          <w:rFonts w:hint="eastAsia"/>
        </w:rPr>
        <w:t>1. 用地效率</w:t>
      </w:r>
    </w:p>
    <w:p w14:paraId="2CE10666">
      <w:pPr>
        <w:rPr>
          <w:rFonts w:hint="eastAsia"/>
        </w:rPr>
      </w:pPr>
      <w:r>
        <w:rPr>
          <w:rFonts w:hint="eastAsia"/>
        </w:rPr>
        <w:t>容积率：0.4，符合文化设施用地规划要求</w:t>
      </w:r>
    </w:p>
    <w:p w14:paraId="1F4311D9">
      <w:pPr>
        <w:rPr>
          <w:rFonts w:hint="eastAsia"/>
        </w:rPr>
      </w:pPr>
      <w:r>
        <w:rPr>
          <w:rFonts w:hint="eastAsia"/>
        </w:rPr>
        <w:t>建筑密度：14.93%，场地开阔，为绿地开放预留充足空间</w:t>
      </w:r>
    </w:p>
    <w:p w14:paraId="628105DA">
      <w:pPr>
        <w:rPr>
          <w:rFonts w:hint="eastAsia"/>
        </w:rPr>
      </w:pPr>
      <w:r>
        <w:rPr>
          <w:rFonts w:hint="eastAsia"/>
        </w:rPr>
        <w:t>2. 绿地开放共享</w:t>
      </w:r>
    </w:p>
    <w:p w14:paraId="18A3B2D8">
      <w:pPr>
        <w:rPr>
          <w:rFonts w:hint="eastAsia"/>
        </w:rPr>
      </w:pPr>
      <w:r>
        <w:rPr>
          <w:rFonts w:hint="eastAsia"/>
        </w:rPr>
        <w:t>开放绿地面积：6000 ㎡，占总绿地面积100%</w:t>
      </w:r>
    </w:p>
    <w:p w14:paraId="18B32707">
      <w:pPr>
        <w:rPr>
          <w:rFonts w:hint="eastAsia"/>
        </w:rPr>
      </w:pPr>
      <w:r>
        <w:rPr>
          <w:rFonts w:hint="eastAsia"/>
        </w:rPr>
        <w:t>开放对象：全体社会公众，开放时间与博物馆运营时间同步并延长至夜间</w:t>
      </w:r>
    </w:p>
    <w:p w14:paraId="2CA20DA5">
      <w:pPr>
        <w:rPr>
          <w:rFonts w:hint="eastAsia"/>
        </w:rPr>
      </w:pPr>
      <w:r>
        <w:rPr>
          <w:rFonts w:hint="eastAsia"/>
        </w:rPr>
        <w:t>3. 室外环境质量</w:t>
      </w:r>
    </w:p>
    <w:p w14:paraId="553A189E">
      <w:pPr>
        <w:rPr>
          <w:rFonts w:hint="eastAsia"/>
        </w:rPr>
      </w:pPr>
      <w:r>
        <w:rPr>
          <w:rFonts w:hint="eastAsia"/>
        </w:rPr>
        <w:t>风环境：建筑体形系数0.26，布局规整，避免冬季冷风渗透与夏季热风滞留</w:t>
      </w:r>
    </w:p>
    <w:p w14:paraId="2B9898A4">
      <w:pPr>
        <w:rPr>
          <w:rFonts w:hint="eastAsia"/>
        </w:rPr>
      </w:pPr>
      <w:r>
        <w:rPr>
          <w:rFonts w:hint="eastAsia"/>
        </w:rPr>
        <w:t>热环境：通过高大乔木与滨水绿地调节，场地热岛强度≤1.5℃</w:t>
      </w:r>
    </w:p>
    <w:p w14:paraId="28354C73">
      <w:pPr>
        <w:rPr>
          <w:rFonts w:hint="eastAsia"/>
        </w:rPr>
      </w:pPr>
      <w:r>
        <w:rPr>
          <w:rFonts w:hint="eastAsia"/>
        </w:rPr>
        <w:t>声环境：道路绿化带与建筑退让形成隔音屏障，室内噪声级≤40 dB(A)</w:t>
      </w:r>
    </w:p>
    <w:p w14:paraId="1929EE27">
      <w:pPr>
        <w:rPr>
          <w:rFonts w:hint="eastAsia"/>
        </w:rPr>
      </w:pPr>
      <w:r>
        <w:rPr>
          <w:rFonts w:hint="eastAsia"/>
        </w:rPr>
        <w:t>（二）节能与能源利用</w:t>
      </w:r>
    </w:p>
    <w:p w14:paraId="7C5EB6C9">
      <w:pPr>
        <w:rPr>
          <w:rFonts w:hint="eastAsia"/>
        </w:rPr>
      </w:pPr>
      <w:r>
        <w:rPr>
          <w:rFonts w:hint="eastAsia"/>
        </w:rPr>
        <w:t>1. 围护结构热工性能</w:t>
      </w:r>
    </w:p>
    <w:p w14:paraId="4298269E">
      <w:pPr>
        <w:rPr>
          <w:rFonts w:hint="eastAsia"/>
        </w:rPr>
      </w:pPr>
      <w:r>
        <w:rPr>
          <w:rFonts w:hint="eastAsia"/>
        </w:rPr>
        <w:t>外墙：传热系数K≤0.45 W/(㎡·K)，满足公共建筑节能设计标准</w:t>
      </w:r>
    </w:p>
    <w:p w14:paraId="163A6128">
      <w:pPr>
        <w:rPr>
          <w:rFonts w:hint="eastAsia"/>
        </w:rPr>
      </w:pPr>
      <w:r>
        <w:rPr>
          <w:rFonts w:hint="eastAsia"/>
        </w:rPr>
        <w:t>屋顶：传热系数K≤0.35 W/(㎡·K)，采用种植屋面+保温层复合构造</w:t>
      </w:r>
    </w:p>
    <w:p w14:paraId="102B92E6">
      <w:pPr>
        <w:rPr>
          <w:rFonts w:hint="eastAsia"/>
        </w:rPr>
      </w:pPr>
      <w:r>
        <w:rPr>
          <w:rFonts w:hint="eastAsia"/>
        </w:rPr>
        <w:t>窗墙比：0.12，有效减少太阳辐射得热，降低空调负荷</w:t>
      </w:r>
    </w:p>
    <w:p w14:paraId="36ED80AD">
      <w:pPr>
        <w:rPr>
          <w:rFonts w:hint="eastAsia"/>
        </w:rPr>
      </w:pPr>
      <w:r>
        <w:rPr>
          <w:rFonts w:hint="eastAsia"/>
        </w:rPr>
        <w:t>2. 建筑节能率</w:t>
      </w:r>
    </w:p>
    <w:p w14:paraId="50005ED1">
      <w:pPr>
        <w:rPr>
          <w:rFonts w:hint="eastAsia"/>
        </w:rPr>
      </w:pPr>
      <w:r>
        <w:rPr>
          <w:rFonts w:hint="eastAsia"/>
        </w:rPr>
        <w:t>综合节能率：≥50%，通过围护结构优化、高效空调系统与LED照明实现</w:t>
      </w:r>
    </w:p>
    <w:p w14:paraId="69D85C3A">
      <w:pPr>
        <w:rPr>
          <w:rFonts w:hint="eastAsia"/>
        </w:rPr>
      </w:pPr>
      <w:r>
        <w:rPr>
          <w:rFonts w:hint="eastAsia"/>
        </w:rPr>
        <w:t>3. 可再生能源利用</w:t>
      </w:r>
    </w:p>
    <w:p w14:paraId="1C352039">
      <w:pPr>
        <w:rPr>
          <w:rFonts w:hint="eastAsia"/>
        </w:rPr>
      </w:pPr>
      <w:r>
        <w:rPr>
          <w:rFonts w:hint="eastAsia"/>
        </w:rPr>
        <w:t>屋顶光伏系统：装机容量50 kW，年发电量约6万kWh，可覆盖建筑照明用电量的30%</w:t>
      </w:r>
    </w:p>
    <w:p w14:paraId="01D95094">
      <w:pPr>
        <w:rPr>
          <w:rFonts w:hint="eastAsia"/>
        </w:rPr>
      </w:pPr>
      <w:r>
        <w:rPr>
          <w:rFonts w:hint="eastAsia"/>
        </w:rPr>
        <w:t>（三）节水与水资源利用</w:t>
      </w:r>
    </w:p>
    <w:p w14:paraId="233E9582">
      <w:pPr>
        <w:rPr>
          <w:rFonts w:hint="eastAsia"/>
        </w:rPr>
      </w:pPr>
      <w:r>
        <w:rPr>
          <w:rFonts w:hint="eastAsia"/>
        </w:rPr>
        <w:t>1. 用水效率</w:t>
      </w:r>
    </w:p>
    <w:p w14:paraId="6E02F0B4">
      <w:pPr>
        <w:rPr>
          <w:rFonts w:hint="eastAsia"/>
        </w:rPr>
      </w:pPr>
      <w:r>
        <w:rPr>
          <w:rFonts w:hint="eastAsia"/>
        </w:rPr>
        <w:t>生活用水定额：≤40 L/人·d，全部采用一级水效洁具</w:t>
      </w:r>
    </w:p>
    <w:p w14:paraId="0ACC540E">
      <w:pPr>
        <w:rPr>
          <w:rFonts w:hint="eastAsia"/>
        </w:rPr>
      </w:pPr>
      <w:r>
        <w:rPr>
          <w:rFonts w:hint="eastAsia"/>
        </w:rPr>
        <w:t>管网漏损率：≤10%，采用智能水表实时监控</w:t>
      </w:r>
    </w:p>
    <w:p w14:paraId="4EF4A82C">
      <w:pPr>
        <w:rPr>
          <w:rFonts w:hint="eastAsia"/>
        </w:rPr>
      </w:pPr>
      <w:r>
        <w:rPr>
          <w:rFonts w:hint="eastAsia"/>
        </w:rPr>
        <w:t>2. 非传统水源利用</w:t>
      </w:r>
    </w:p>
    <w:p w14:paraId="16149032">
      <w:pPr>
        <w:rPr>
          <w:rFonts w:hint="eastAsia"/>
        </w:rPr>
      </w:pPr>
      <w:r>
        <w:rPr>
          <w:rFonts w:hint="eastAsia"/>
        </w:rPr>
        <w:t>雨水收集系统：收集屋顶及硬质铺装雨水，用于绿地灌溉与道路冲洗，年利用量约1200 ㎥</w:t>
      </w:r>
    </w:p>
    <w:p w14:paraId="02DC687D">
      <w:pPr>
        <w:rPr>
          <w:rFonts w:hint="eastAsia"/>
        </w:rPr>
      </w:pPr>
      <w:r>
        <w:rPr>
          <w:rFonts w:hint="eastAsia"/>
        </w:rPr>
        <w:t>非传统水源利用率：≥15%，满足绿色建筑节水指标要求</w:t>
      </w:r>
    </w:p>
    <w:p w14:paraId="29D6B31E">
      <w:pPr>
        <w:rPr>
          <w:rFonts w:hint="eastAsia"/>
        </w:rPr>
      </w:pPr>
      <w:r>
        <w:rPr>
          <w:rFonts w:hint="eastAsia"/>
        </w:rPr>
        <w:t>（四）节材与材料资源利用</w:t>
      </w:r>
    </w:p>
    <w:p w14:paraId="76741449">
      <w:pPr>
        <w:rPr>
          <w:rFonts w:hint="eastAsia"/>
        </w:rPr>
      </w:pPr>
    </w:p>
    <w:p w14:paraId="2CF92AD9">
      <w:pPr>
        <w:rPr>
          <w:rFonts w:hint="eastAsia"/>
        </w:rPr>
      </w:pPr>
      <w:r>
        <w:rPr>
          <w:rFonts w:hint="eastAsia"/>
        </w:rPr>
        <w:t>1. 绿色建材应用</w:t>
      </w:r>
    </w:p>
    <w:p w14:paraId="7C82447F">
      <w:pPr>
        <w:rPr>
          <w:rFonts w:hint="eastAsia"/>
        </w:rPr>
      </w:pPr>
      <w:r>
        <w:rPr>
          <w:rFonts w:hint="eastAsia"/>
        </w:rPr>
        <w:t>预制混凝土构件使用率：≥30%，减少现场湿作业</w:t>
      </w:r>
    </w:p>
    <w:p w14:paraId="463FA0A4">
      <w:pPr>
        <w:rPr>
          <w:rFonts w:hint="eastAsia"/>
        </w:rPr>
      </w:pPr>
      <w:r>
        <w:rPr>
          <w:rFonts w:hint="eastAsia"/>
        </w:rPr>
        <w:t>再生骨料利用率：≥20%，用于基础垫层与道路铺装</w:t>
      </w:r>
    </w:p>
    <w:p w14:paraId="4A4578BF">
      <w:pPr>
        <w:rPr>
          <w:rFonts w:hint="eastAsia"/>
        </w:rPr>
      </w:pPr>
      <w:r>
        <w:rPr>
          <w:rFonts w:hint="eastAsia"/>
        </w:rPr>
        <w:t>2. 可循环材料</w:t>
      </w:r>
    </w:p>
    <w:p w14:paraId="2E029DC1">
      <w:pPr>
        <w:rPr>
          <w:rFonts w:hint="eastAsia"/>
        </w:rPr>
      </w:pPr>
      <w:r>
        <w:rPr>
          <w:rFonts w:hint="eastAsia"/>
        </w:rPr>
        <w:t>可循环材料占比：≥10%，主要为钢结构连接件与金属装饰构件</w:t>
      </w:r>
    </w:p>
    <w:p w14:paraId="7E359BC5">
      <w:pPr>
        <w:rPr>
          <w:rFonts w:hint="eastAsia"/>
        </w:rPr>
      </w:pPr>
      <w:r>
        <w:rPr>
          <w:rFonts w:hint="eastAsia"/>
        </w:rPr>
        <w:t>3. 材料本地化</w:t>
      </w:r>
    </w:p>
    <w:p w14:paraId="19E35E15">
      <w:pPr>
        <w:rPr>
          <w:rFonts w:hint="eastAsia"/>
        </w:rPr>
      </w:pPr>
      <w:r>
        <w:rPr>
          <w:rFonts w:hint="eastAsia"/>
        </w:rPr>
        <w:t>500km范围内生产建材占比：≥70%，降低运输碳排放</w:t>
      </w:r>
    </w:p>
    <w:p w14:paraId="6886E62A">
      <w:pPr>
        <w:rPr>
          <w:rFonts w:hint="eastAsia"/>
        </w:rPr>
      </w:pPr>
      <w:r>
        <w:rPr>
          <w:rFonts w:hint="eastAsia"/>
        </w:rPr>
        <w:t>（五）室内环境质量</w:t>
      </w:r>
    </w:p>
    <w:p w14:paraId="16140D06">
      <w:pPr>
        <w:rPr>
          <w:rFonts w:hint="eastAsia"/>
        </w:rPr>
      </w:pPr>
      <w:r>
        <w:rPr>
          <w:rFonts w:hint="eastAsia"/>
        </w:rPr>
        <w:t>1. 天然采光</w:t>
      </w:r>
    </w:p>
    <w:p w14:paraId="7BC350C0">
      <w:pPr>
        <w:rPr>
          <w:rFonts w:hint="eastAsia"/>
        </w:rPr>
      </w:pPr>
      <w:r>
        <w:rPr>
          <w:rFonts w:hint="eastAsia"/>
        </w:rPr>
        <w:t>展厅天然采光系数≥2%，办公区≥3%，满足视觉舒适要求</w:t>
      </w:r>
    </w:p>
    <w:p w14:paraId="7DD4197E">
      <w:pPr>
        <w:rPr>
          <w:rFonts w:hint="eastAsia"/>
        </w:rPr>
      </w:pPr>
      <w:r>
        <w:rPr>
          <w:rFonts w:hint="eastAsia"/>
        </w:rPr>
        <w:t>2. 自然通风</w:t>
      </w:r>
    </w:p>
    <w:p w14:paraId="7F725865">
      <w:pPr>
        <w:rPr>
          <w:rFonts w:hint="eastAsia"/>
        </w:rPr>
      </w:pPr>
      <w:r>
        <w:rPr>
          <w:rFonts w:hint="eastAsia"/>
        </w:rPr>
        <w:t>可开启外窗面积占窗总面积≥30%，过渡季节可实现全新风运行</w:t>
      </w:r>
    </w:p>
    <w:p w14:paraId="6C74EE0E">
      <w:pPr>
        <w:rPr>
          <w:rFonts w:hint="eastAsia"/>
        </w:rPr>
      </w:pPr>
      <w:r>
        <w:rPr>
          <w:rFonts w:hint="eastAsia"/>
        </w:rPr>
        <w:t>3. 热舒适</w:t>
      </w:r>
    </w:p>
    <w:p w14:paraId="5FD1D368">
      <w:pPr>
        <w:rPr>
          <w:rFonts w:hint="eastAsia"/>
        </w:rPr>
      </w:pPr>
      <w:r>
        <w:rPr>
          <w:rFonts w:hint="eastAsia"/>
        </w:rPr>
        <w:t>PMV：-0.16，PPD：5.47%，符合ISO 7730热舒适标准，室内人员热舒适满意度≥94%</w:t>
      </w:r>
    </w:p>
    <w:p w14:paraId="67B61A8C">
      <w:pPr>
        <w:rPr>
          <w:rFonts w:hint="eastAsia"/>
        </w:rPr>
      </w:pPr>
      <w:r>
        <w:rPr>
          <w:rFonts w:hint="eastAsia"/>
        </w:rPr>
        <w:t>（六）运营管理</w:t>
      </w:r>
    </w:p>
    <w:p w14:paraId="54FDD3DE">
      <w:pPr>
        <w:rPr>
          <w:rFonts w:hint="eastAsia"/>
        </w:rPr>
      </w:pPr>
      <w:r>
        <w:rPr>
          <w:rFonts w:hint="eastAsia"/>
        </w:rPr>
        <w:t>1. 智能化运维</w:t>
      </w:r>
    </w:p>
    <w:p w14:paraId="79B3F069">
      <w:pPr>
        <w:rPr>
          <w:rFonts w:hint="eastAsia"/>
        </w:rPr>
      </w:pPr>
      <w:r>
        <w:rPr>
          <w:rFonts w:hint="eastAsia"/>
        </w:rPr>
        <w:t>建筑设备管理系统（BMS）：对空调、照明、给排水进行集中监控与节能控制</w:t>
      </w:r>
    </w:p>
    <w:p w14:paraId="2640F85D">
      <w:pPr>
        <w:rPr>
          <w:rFonts w:hint="eastAsia"/>
        </w:rPr>
      </w:pPr>
      <w:r>
        <w:rPr>
          <w:rFonts w:hint="eastAsia"/>
        </w:rPr>
        <w:t>能耗监测系统：实时统计电、水、气消耗，生成能耗分析报告</w:t>
      </w:r>
    </w:p>
    <w:p w14:paraId="194D33A1">
      <w:pPr>
        <w:rPr>
          <w:rFonts w:hint="eastAsia"/>
        </w:rPr>
      </w:pPr>
      <w:r>
        <w:rPr>
          <w:rFonts w:hint="eastAsia"/>
        </w:rPr>
        <w:t>2. 绿色开放管理</w:t>
      </w:r>
    </w:p>
    <w:p w14:paraId="3821EA1F">
      <w:pPr>
        <w:rPr>
          <w:rFonts w:hint="eastAsia"/>
        </w:rPr>
      </w:pPr>
      <w:r>
        <w:rPr>
          <w:rFonts w:hint="eastAsia"/>
        </w:rPr>
        <w:t>制定《馆区室外绿地开放管理制度》，明确开放时段、行为规范与应急处置流程</w:t>
      </w:r>
    </w:p>
    <w:p w14:paraId="245F2073">
      <w:pPr>
        <w:rPr>
          <w:rFonts w:hint="eastAsia"/>
        </w:rPr>
      </w:pPr>
      <w:r>
        <w:rPr>
          <w:rFonts w:hint="eastAsia"/>
        </w:rPr>
        <w:t>定期开展绿化养护与设施维护，保障公众使用安全与环境品质</w:t>
      </w:r>
    </w:p>
    <w:p w14:paraId="169F79FD">
      <w:pPr>
        <w:rPr>
          <w:rFonts w:hint="eastAsia"/>
        </w:rPr>
      </w:pPr>
      <w:r>
        <w:rPr>
          <w:rFonts w:hint="eastAsia"/>
        </w:rPr>
        <w:t>四、绿建综合评价结果</w:t>
      </w:r>
    </w:p>
    <w:p w14:paraId="69FCA75A">
      <w:pPr>
        <w:rPr>
          <w:rFonts w:hint="eastAsia"/>
        </w:rPr>
      </w:pPr>
      <w:r>
        <w:rPr>
          <w:rFonts w:hint="eastAsia"/>
        </w:rPr>
        <w:t xml:space="preserve">评价维度 得分（满分100） </w:t>
      </w:r>
    </w:p>
    <w:p w14:paraId="6B2363B9">
      <w:pPr>
        <w:rPr>
          <w:rFonts w:hint="eastAsia"/>
        </w:rPr>
      </w:pPr>
      <w:r>
        <w:rPr>
          <w:rFonts w:hint="eastAsia"/>
        </w:rPr>
        <w:t xml:space="preserve">节地与室外环境 85 </w:t>
      </w:r>
    </w:p>
    <w:p w14:paraId="19A2A42F">
      <w:pPr>
        <w:rPr>
          <w:rFonts w:hint="eastAsia"/>
        </w:rPr>
      </w:pPr>
      <w:r>
        <w:rPr>
          <w:rFonts w:hint="eastAsia"/>
        </w:rPr>
        <w:t xml:space="preserve">节能与能源利用 82 </w:t>
      </w:r>
    </w:p>
    <w:p w14:paraId="1C82ECB7">
      <w:pPr>
        <w:rPr>
          <w:rFonts w:hint="eastAsia"/>
        </w:rPr>
      </w:pPr>
      <w:r>
        <w:rPr>
          <w:rFonts w:hint="eastAsia"/>
        </w:rPr>
        <w:t xml:space="preserve">节水与水资源利用 78 </w:t>
      </w:r>
    </w:p>
    <w:p w14:paraId="54FEF892">
      <w:pPr>
        <w:rPr>
          <w:rFonts w:hint="eastAsia"/>
        </w:rPr>
      </w:pPr>
      <w:r>
        <w:rPr>
          <w:rFonts w:hint="eastAsia"/>
        </w:rPr>
        <w:t xml:space="preserve">节材与材料资源利用 80 </w:t>
      </w:r>
    </w:p>
    <w:p w14:paraId="7CBBA1AE">
      <w:pPr>
        <w:rPr>
          <w:rFonts w:hint="eastAsia"/>
        </w:rPr>
      </w:pPr>
      <w:r>
        <w:rPr>
          <w:rFonts w:hint="eastAsia"/>
        </w:rPr>
        <w:t xml:space="preserve">室内环境质量 88 </w:t>
      </w:r>
    </w:p>
    <w:p w14:paraId="55ACC424">
      <w:pPr>
        <w:rPr>
          <w:rFonts w:hint="eastAsia"/>
        </w:rPr>
      </w:pPr>
      <w:r>
        <w:rPr>
          <w:rFonts w:hint="eastAsia"/>
        </w:rPr>
        <w:t xml:space="preserve">运营管理 83 </w:t>
      </w:r>
    </w:p>
    <w:p w14:paraId="6815C981">
      <w:pPr>
        <w:rPr>
          <w:rFonts w:hint="eastAsia"/>
        </w:rPr>
      </w:pPr>
      <w:r>
        <w:rPr>
          <w:rFonts w:hint="eastAsia"/>
        </w:rPr>
        <w:t xml:space="preserve">综合得分 82.7 </w:t>
      </w:r>
    </w:p>
    <w:p w14:paraId="3D42BB6B">
      <w:pPr>
        <w:rPr>
          <w:rFonts w:hint="eastAsia"/>
        </w:rPr>
      </w:pPr>
      <w:r>
        <w:rPr>
          <w:rFonts w:hint="eastAsia"/>
        </w:rPr>
        <w:t>评价等级：绿色建筑二星级 ✅</w:t>
      </w:r>
    </w:p>
    <w:p w14:paraId="6E812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20CE2DC8"/>
    <w:rsid w:val="331D2CEA"/>
    <w:rsid w:val="33633703"/>
    <w:rsid w:val="33C75702"/>
    <w:rsid w:val="43AD2714"/>
    <w:rsid w:val="43E022A5"/>
    <w:rsid w:val="4F2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1157</Words>
  <Characters>1697</Characters>
  <Lines>0</Lines>
  <Paragraphs>0</Paragraphs>
  <TotalTime>69</TotalTime>
  <ScaleCrop>false</ScaleCrop>
  <LinksUpToDate>false</LinksUpToDate>
  <CharactersWithSpaces>1735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2026-03-15T14:40:49Z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1B695831EAFE466DBB34CF247799DA44_13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