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5121" w14:textId="77777777" w:rsidR="00EF34F4" w:rsidRDefault="001B75D8">
      <w:pPr>
        <w:spacing w:before="480" w:after="480" w:line="288" w:lineRule="auto"/>
      </w:pPr>
      <w:r>
        <w:rPr>
          <w:rFonts w:ascii="Arial" w:eastAsia="等线" w:hAnsi="Arial" w:cs="Arial"/>
          <w:b/>
          <w:sz w:val="52"/>
        </w:rPr>
        <w:t>绿色雨水基础设施评分计算书</w:t>
      </w:r>
    </w:p>
    <w:p w14:paraId="008241AD" w14:textId="77777777" w:rsidR="00EF34F4" w:rsidRDefault="001B75D8">
      <w:pPr>
        <w:spacing w:before="120" w:after="120" w:line="288" w:lineRule="auto"/>
        <w:jc w:val="left"/>
      </w:pPr>
      <w:r>
        <w:rPr>
          <w:rFonts w:ascii="Arial" w:eastAsia="等线" w:hAnsi="Arial" w:cs="Arial"/>
          <w:sz w:val="22"/>
        </w:rPr>
        <w:t>本计算书针对场地绿色雨水基础设施评分需求，依据</w:t>
      </w:r>
      <w:r>
        <w:rPr>
          <w:rFonts w:ascii="Arial" w:eastAsia="等线" w:hAnsi="Arial" w:cs="Arial"/>
          <w:sz w:val="22"/>
        </w:rPr>
        <w:t>“</w:t>
      </w:r>
      <w:r>
        <w:rPr>
          <w:rFonts w:ascii="Arial" w:eastAsia="等线" w:hAnsi="Arial" w:cs="Arial"/>
          <w:sz w:val="22"/>
        </w:rPr>
        <w:t>利用场地空间设置绿色雨水基础设施，汇集场地径流进入设施，有效实现雨水的滞蓄与下渗</w:t>
      </w:r>
      <w:r>
        <w:rPr>
          <w:rFonts w:ascii="Arial" w:eastAsia="等线" w:hAnsi="Arial" w:cs="Arial"/>
          <w:sz w:val="22"/>
        </w:rPr>
        <w:t>”</w:t>
      </w:r>
      <w:r>
        <w:rPr>
          <w:rFonts w:ascii="Arial" w:eastAsia="等线" w:hAnsi="Arial" w:cs="Arial"/>
          <w:sz w:val="22"/>
        </w:rPr>
        <w:t>的核心要求，结合场地实际布局、设施参数及评分规则（评价总分值</w:t>
      </w:r>
      <w:r>
        <w:rPr>
          <w:rFonts w:ascii="Arial" w:eastAsia="等线" w:hAnsi="Arial" w:cs="Arial"/>
          <w:sz w:val="22"/>
        </w:rPr>
        <w:t>15</w:t>
      </w:r>
      <w:r>
        <w:rPr>
          <w:rFonts w:ascii="Arial" w:eastAsia="等线" w:hAnsi="Arial" w:cs="Arial"/>
          <w:sz w:val="22"/>
        </w:rPr>
        <w:t>分，按</w:t>
      </w:r>
      <w:r>
        <w:rPr>
          <w:rFonts w:ascii="Arial" w:eastAsia="等线" w:hAnsi="Arial" w:cs="Arial"/>
          <w:sz w:val="22"/>
        </w:rPr>
        <w:t>4</w:t>
      </w:r>
      <w:r>
        <w:rPr>
          <w:rFonts w:ascii="Arial" w:eastAsia="等线" w:hAnsi="Arial" w:cs="Arial"/>
          <w:sz w:val="22"/>
        </w:rPr>
        <w:t>项规则分别评分并累计），逐项开展核算工作，明确各评分项的计算过程、结果及得分情况，确保计算科学准确、评分有据可依，为场地绿色雨水基础设施评分验收提供核心依据，同时支撑设施优化完善以达到更高评分标准。</w:t>
      </w:r>
    </w:p>
    <w:p w14:paraId="201E2B0B" w14:textId="77777777" w:rsidR="00EF34F4" w:rsidRDefault="001B75D8">
      <w:pPr>
        <w:spacing w:before="320" w:after="120" w:line="288" w:lineRule="auto"/>
        <w:jc w:val="left"/>
        <w:outlineLvl w:val="1"/>
      </w:pPr>
      <w:bookmarkStart w:id="0" w:name="heading_0"/>
      <w:r>
        <w:rPr>
          <w:rFonts w:ascii="Arial" w:eastAsia="等线" w:hAnsi="Arial" w:cs="Arial"/>
          <w:b/>
          <w:sz w:val="32"/>
        </w:rPr>
        <w:t>一、计算总则</w:t>
      </w:r>
      <w:bookmarkEnd w:id="0"/>
    </w:p>
    <w:p w14:paraId="40660A62" w14:textId="77777777" w:rsidR="00EF34F4" w:rsidRDefault="001B75D8">
      <w:pPr>
        <w:spacing w:before="300" w:after="120" w:line="288" w:lineRule="auto"/>
        <w:jc w:val="left"/>
        <w:outlineLvl w:val="2"/>
      </w:pPr>
      <w:bookmarkStart w:id="1" w:name="heading_1"/>
      <w:r>
        <w:rPr>
          <w:rFonts w:ascii="Arial" w:eastAsia="等线" w:hAnsi="Arial" w:cs="Arial"/>
          <w:b/>
          <w:sz w:val="30"/>
        </w:rPr>
        <w:t>（一）计算依据</w:t>
      </w:r>
      <w:bookmarkEnd w:id="1"/>
    </w:p>
    <w:p w14:paraId="25A91839" w14:textId="56FBB1E4" w:rsidR="00EF34F4" w:rsidRDefault="001B75D8">
      <w:pPr>
        <w:spacing w:before="120" w:after="120" w:line="288" w:lineRule="auto"/>
        <w:jc w:val="left"/>
      </w:pPr>
      <w:r>
        <w:rPr>
          <w:rFonts w:ascii="Arial" w:eastAsia="等线" w:hAnsi="Arial" w:cs="Arial"/>
          <w:sz w:val="22"/>
        </w:rPr>
        <w:t>1.</w:t>
      </w:r>
      <w:r>
        <w:rPr>
          <w:rFonts w:ascii="Arial" w:eastAsia="等线" w:hAnsi="Arial" w:cs="Arial"/>
          <w:sz w:val="22"/>
        </w:rPr>
        <w:t>场地绿色雨水基础设施设置及雨水滞蓄、下渗相关核心要求；</w:t>
      </w:r>
    </w:p>
    <w:p w14:paraId="631310EE" w14:textId="1E32C70F" w:rsidR="00EF34F4" w:rsidRDefault="001B75D8">
      <w:pPr>
        <w:spacing w:before="120" w:after="120" w:line="288" w:lineRule="auto"/>
        <w:jc w:val="left"/>
      </w:pPr>
      <w:r>
        <w:rPr>
          <w:rFonts w:ascii="Arial" w:eastAsia="等线" w:hAnsi="Arial" w:cs="Arial"/>
          <w:sz w:val="22"/>
        </w:rPr>
        <w:t>2.</w:t>
      </w:r>
      <w:r>
        <w:rPr>
          <w:rFonts w:ascii="Arial" w:eastAsia="等线" w:hAnsi="Arial" w:cs="Arial"/>
          <w:sz w:val="22"/>
        </w:rPr>
        <w:t>《雨水利</w:t>
      </w:r>
      <w:r>
        <w:rPr>
          <w:rFonts w:ascii="Arial" w:eastAsia="等线" w:hAnsi="Arial" w:cs="Arial"/>
          <w:sz w:val="22"/>
        </w:rPr>
        <w:t>用工程技术规范》（</w:t>
      </w:r>
      <w:r>
        <w:rPr>
          <w:rFonts w:ascii="Arial" w:eastAsia="等线" w:hAnsi="Arial" w:cs="Arial"/>
          <w:sz w:val="22"/>
        </w:rPr>
        <w:t>GB</w:t>
      </w:r>
      <w:r>
        <w:rPr>
          <w:rFonts w:ascii="Arial" w:eastAsia="等线" w:hAnsi="Arial" w:cs="Arial"/>
          <w:sz w:val="22"/>
        </w:rPr>
        <w:t>50400-2016</w:t>
      </w:r>
      <w:r>
        <w:rPr>
          <w:rFonts w:ascii="Arial" w:eastAsia="等线" w:hAnsi="Arial" w:cs="Arial"/>
          <w:sz w:val="22"/>
        </w:rPr>
        <w:t>）；</w:t>
      </w:r>
    </w:p>
    <w:p w14:paraId="6D7D6C93" w14:textId="79861B88" w:rsidR="00EF34F4" w:rsidRDefault="001B75D8">
      <w:pPr>
        <w:spacing w:before="120" w:after="120" w:line="288" w:lineRule="auto"/>
        <w:jc w:val="left"/>
      </w:pPr>
      <w:r>
        <w:rPr>
          <w:rFonts w:ascii="Arial" w:eastAsia="等线" w:hAnsi="Arial" w:cs="Arial"/>
          <w:sz w:val="22"/>
        </w:rPr>
        <w:t>3.</w:t>
      </w:r>
      <w:r>
        <w:rPr>
          <w:rFonts w:ascii="Arial" w:eastAsia="等线" w:hAnsi="Arial" w:cs="Arial"/>
          <w:sz w:val="22"/>
        </w:rPr>
        <w:t>《室外排水设计标准》（</w:t>
      </w:r>
      <w:r>
        <w:rPr>
          <w:rFonts w:ascii="Arial" w:eastAsia="等线" w:hAnsi="Arial" w:cs="Arial"/>
          <w:sz w:val="22"/>
        </w:rPr>
        <w:t>GB</w:t>
      </w:r>
      <w:r>
        <w:rPr>
          <w:rFonts w:ascii="Arial" w:eastAsia="等线" w:hAnsi="Arial" w:cs="Arial"/>
          <w:sz w:val="22"/>
        </w:rPr>
        <w:t>50014-2021</w:t>
      </w:r>
      <w:r>
        <w:rPr>
          <w:rFonts w:ascii="Arial" w:eastAsia="等线" w:hAnsi="Arial" w:cs="Arial"/>
          <w:sz w:val="22"/>
        </w:rPr>
        <w:t>）；</w:t>
      </w:r>
    </w:p>
    <w:p w14:paraId="7FBB35BD" w14:textId="7C887AF8" w:rsidR="00EF34F4" w:rsidRDefault="001B75D8">
      <w:pPr>
        <w:spacing w:before="120" w:after="120" w:line="288" w:lineRule="auto"/>
        <w:jc w:val="left"/>
      </w:pPr>
      <w:r>
        <w:rPr>
          <w:rFonts w:ascii="Arial" w:eastAsia="等线" w:hAnsi="Arial" w:cs="Arial"/>
          <w:sz w:val="22"/>
        </w:rPr>
        <w:t>4.</w:t>
      </w:r>
      <w:r>
        <w:rPr>
          <w:rFonts w:ascii="Arial" w:eastAsia="等线" w:hAnsi="Arial" w:cs="Arial"/>
          <w:sz w:val="22"/>
        </w:rPr>
        <w:t>场地总平面规划图、绿色雨水基础设施布局图；</w:t>
      </w:r>
    </w:p>
    <w:p w14:paraId="4C099B0E" w14:textId="7D00EA5A" w:rsidR="00EF34F4" w:rsidRDefault="001B75D8">
      <w:pPr>
        <w:spacing w:before="120" w:after="120" w:line="288" w:lineRule="auto"/>
        <w:jc w:val="left"/>
      </w:pPr>
      <w:r>
        <w:rPr>
          <w:rFonts w:ascii="Arial" w:eastAsia="等线" w:hAnsi="Arial" w:cs="Arial"/>
          <w:sz w:val="22"/>
        </w:rPr>
        <w:t>5.</w:t>
      </w:r>
      <w:r>
        <w:rPr>
          <w:rFonts w:ascii="Arial" w:eastAsia="等线" w:hAnsi="Arial" w:cs="Arial"/>
          <w:sz w:val="22"/>
        </w:rPr>
        <w:t>场地绿化面积、屋面面积、道路面积、硬质铺装面积核算资料；</w:t>
      </w:r>
    </w:p>
    <w:p w14:paraId="278E4A9E" w14:textId="49543F06" w:rsidR="00EF34F4" w:rsidRDefault="001B75D8">
      <w:pPr>
        <w:spacing w:before="120" w:after="120" w:line="288" w:lineRule="auto"/>
        <w:jc w:val="left"/>
      </w:pPr>
      <w:r>
        <w:rPr>
          <w:rFonts w:ascii="Arial" w:eastAsia="等线" w:hAnsi="Arial" w:cs="Arial"/>
          <w:sz w:val="22"/>
        </w:rPr>
        <w:t>6.</w:t>
      </w:r>
      <w:r>
        <w:rPr>
          <w:rFonts w:ascii="Arial" w:eastAsia="等线" w:hAnsi="Arial" w:cs="Arial"/>
          <w:sz w:val="22"/>
        </w:rPr>
        <w:t>绿色雨水基础设施（下凹式绿地、雨水花园等）相关参数资料；</w:t>
      </w:r>
    </w:p>
    <w:p w14:paraId="18D163C5" w14:textId="42375157" w:rsidR="00EF34F4" w:rsidRDefault="001B75D8">
      <w:pPr>
        <w:spacing w:before="120" w:after="120" w:line="288" w:lineRule="auto"/>
        <w:jc w:val="left"/>
      </w:pPr>
      <w:r>
        <w:rPr>
          <w:rFonts w:ascii="Arial" w:eastAsia="等线" w:hAnsi="Arial" w:cs="Arial"/>
          <w:sz w:val="22"/>
        </w:rPr>
        <w:t>7.</w:t>
      </w:r>
      <w:r>
        <w:rPr>
          <w:rFonts w:ascii="Arial" w:eastAsia="等线" w:hAnsi="Arial" w:cs="Arial"/>
          <w:sz w:val="22"/>
        </w:rPr>
        <w:t>场地屋面雨水、道路雨水衔接引导相关设计及核算资料；</w:t>
      </w:r>
    </w:p>
    <w:p w14:paraId="33ED4446" w14:textId="0D1166FF" w:rsidR="00EF34F4" w:rsidRDefault="001B75D8">
      <w:pPr>
        <w:spacing w:before="120" w:after="120" w:line="288" w:lineRule="auto"/>
        <w:jc w:val="left"/>
      </w:pPr>
      <w:r>
        <w:rPr>
          <w:rFonts w:ascii="Arial" w:eastAsia="等线" w:hAnsi="Arial" w:cs="Arial"/>
          <w:sz w:val="22"/>
        </w:rPr>
        <w:t>8.</w:t>
      </w:r>
      <w:r>
        <w:rPr>
          <w:rFonts w:ascii="Arial" w:eastAsia="等线" w:hAnsi="Arial" w:cs="Arial"/>
          <w:sz w:val="22"/>
        </w:rPr>
        <w:t>评分规则：评价总分值</w:t>
      </w:r>
      <w:r>
        <w:rPr>
          <w:rFonts w:ascii="Arial" w:eastAsia="等线" w:hAnsi="Arial" w:cs="Arial"/>
          <w:sz w:val="22"/>
        </w:rPr>
        <w:t>15</w:t>
      </w:r>
      <w:r>
        <w:rPr>
          <w:rFonts w:ascii="Arial" w:eastAsia="等线" w:hAnsi="Arial" w:cs="Arial"/>
          <w:sz w:val="22"/>
        </w:rPr>
        <w:t>分，按</w:t>
      </w:r>
      <w:r>
        <w:rPr>
          <w:rFonts w:ascii="Arial" w:eastAsia="等线" w:hAnsi="Arial" w:cs="Arial"/>
          <w:sz w:val="22"/>
        </w:rPr>
        <w:t>4</w:t>
      </w:r>
      <w:r>
        <w:rPr>
          <w:rFonts w:ascii="Arial" w:eastAsia="等线" w:hAnsi="Arial" w:cs="Arial"/>
          <w:sz w:val="22"/>
        </w:rPr>
        <w:t>项规则分别评分并累计。</w:t>
      </w:r>
    </w:p>
    <w:p w14:paraId="306104C0" w14:textId="77777777" w:rsidR="00EF34F4" w:rsidRDefault="001B75D8">
      <w:pPr>
        <w:spacing w:before="300" w:after="120" w:line="288" w:lineRule="auto"/>
        <w:jc w:val="left"/>
        <w:outlineLvl w:val="2"/>
      </w:pPr>
      <w:bookmarkStart w:id="2" w:name="heading_2"/>
      <w:r>
        <w:rPr>
          <w:rFonts w:ascii="Arial" w:eastAsia="等线" w:hAnsi="Arial" w:cs="Arial"/>
          <w:b/>
          <w:sz w:val="30"/>
        </w:rPr>
        <w:t>（二）计算范围</w:t>
      </w:r>
      <w:bookmarkEnd w:id="2"/>
    </w:p>
    <w:p w14:paraId="150012FE" w14:textId="77777777" w:rsidR="00EF34F4" w:rsidRDefault="001B75D8">
      <w:pPr>
        <w:spacing w:before="120" w:after="120" w:line="288" w:lineRule="auto"/>
        <w:jc w:val="left"/>
      </w:pPr>
      <w:r>
        <w:rPr>
          <w:rFonts w:ascii="Arial" w:eastAsia="等线" w:hAnsi="Arial" w:cs="Arial"/>
          <w:sz w:val="22"/>
        </w:rPr>
        <w:t>本次计算覆盖场地内所有绿色雨水基础设施，包括下凹式绿地、雨水花园等有调蓄雨水</w:t>
      </w:r>
      <w:r>
        <w:rPr>
          <w:rFonts w:ascii="Arial" w:eastAsia="等线" w:hAnsi="Arial" w:cs="Arial"/>
          <w:sz w:val="22"/>
        </w:rPr>
        <w:t>功能的绿地和水体；涵盖场地全部屋面区域、道路区域及硬质铺装区域，与绿色雨水基础设施的径流汇集范围、场地规划范围一致，确保各项评分指标核算无遗漏，评分结果真实反映场地绿色雨水基础设施的实际效能。</w:t>
      </w:r>
    </w:p>
    <w:p w14:paraId="3EE55A90" w14:textId="77777777" w:rsidR="00EF34F4" w:rsidRDefault="001B75D8">
      <w:pPr>
        <w:spacing w:before="300" w:after="120" w:line="288" w:lineRule="auto"/>
        <w:jc w:val="left"/>
        <w:outlineLvl w:val="2"/>
      </w:pPr>
      <w:bookmarkStart w:id="3" w:name="heading_3"/>
      <w:r>
        <w:rPr>
          <w:rFonts w:ascii="Arial" w:eastAsia="等线" w:hAnsi="Arial" w:cs="Arial"/>
          <w:b/>
          <w:sz w:val="30"/>
        </w:rPr>
        <w:t>（三）计算目标</w:t>
      </w:r>
      <w:bookmarkEnd w:id="3"/>
    </w:p>
    <w:p w14:paraId="7FD01A4E" w14:textId="416B54E3" w:rsidR="00EF34F4" w:rsidRDefault="001B75D8">
      <w:pPr>
        <w:spacing w:before="120" w:after="120" w:line="288" w:lineRule="auto"/>
        <w:jc w:val="left"/>
      </w:pPr>
      <w:r>
        <w:rPr>
          <w:rFonts w:ascii="Arial" w:eastAsia="等线" w:hAnsi="Arial" w:cs="Arial"/>
          <w:sz w:val="22"/>
        </w:rPr>
        <w:t>1.</w:t>
      </w:r>
      <w:r>
        <w:rPr>
          <w:rFonts w:ascii="Arial" w:eastAsia="等线" w:hAnsi="Arial" w:cs="Arial"/>
          <w:sz w:val="22"/>
        </w:rPr>
        <w:t>明确各评分项的核算方法，结合场地实际参数，准确计算各项指标达标情况；</w:t>
      </w:r>
    </w:p>
    <w:p w14:paraId="6D8E13ED" w14:textId="35EEE0EC" w:rsidR="00EF34F4" w:rsidRDefault="001B75D8">
      <w:pPr>
        <w:spacing w:before="120" w:after="120" w:line="288" w:lineRule="auto"/>
        <w:jc w:val="left"/>
      </w:pPr>
      <w:r>
        <w:rPr>
          <w:rFonts w:ascii="Arial" w:eastAsia="等线" w:hAnsi="Arial" w:cs="Arial"/>
          <w:sz w:val="22"/>
        </w:rPr>
        <w:t>2.</w:t>
      </w:r>
      <w:r>
        <w:rPr>
          <w:rFonts w:ascii="Arial" w:eastAsia="等线" w:hAnsi="Arial" w:cs="Arial"/>
          <w:sz w:val="22"/>
        </w:rPr>
        <w:t>按评分规则逐项评分，累计得出场地绿色雨水基础设施总得分，明确当前得分水平；</w:t>
      </w:r>
    </w:p>
    <w:p w14:paraId="7E9F5305" w14:textId="78262F6A" w:rsidR="00EF34F4" w:rsidRDefault="001B75D8">
      <w:pPr>
        <w:spacing w:before="120" w:after="120" w:line="288" w:lineRule="auto"/>
        <w:jc w:val="left"/>
      </w:pPr>
      <w:r>
        <w:rPr>
          <w:rFonts w:ascii="Arial" w:eastAsia="等线" w:hAnsi="Arial" w:cs="Arial"/>
          <w:sz w:val="22"/>
        </w:rPr>
        <w:t>3.</w:t>
      </w:r>
      <w:r>
        <w:rPr>
          <w:rFonts w:ascii="Arial" w:eastAsia="等线" w:hAnsi="Arial" w:cs="Arial"/>
          <w:sz w:val="22"/>
        </w:rPr>
        <w:t>针对未达标或未获得满分的评分项，分析差距并提出优化建议，为提升评分、完善</w:t>
      </w:r>
      <w:r>
        <w:rPr>
          <w:rFonts w:ascii="Arial" w:eastAsia="等线" w:hAnsi="Arial" w:cs="Arial"/>
          <w:sz w:val="22"/>
        </w:rPr>
        <w:lastRenderedPageBreak/>
        <w:t>设施提供依据；</w:t>
      </w:r>
    </w:p>
    <w:p w14:paraId="4140E49F" w14:textId="569250D8" w:rsidR="00EF34F4" w:rsidRDefault="001B75D8">
      <w:pPr>
        <w:spacing w:before="120" w:after="120" w:line="288" w:lineRule="auto"/>
        <w:jc w:val="left"/>
      </w:pPr>
      <w:r>
        <w:rPr>
          <w:rFonts w:ascii="Arial" w:eastAsia="等线" w:hAnsi="Arial" w:cs="Arial"/>
          <w:sz w:val="22"/>
        </w:rPr>
        <w:t>4.</w:t>
      </w:r>
      <w:r>
        <w:rPr>
          <w:rFonts w:ascii="Arial" w:eastAsia="等线" w:hAnsi="Arial" w:cs="Arial"/>
          <w:sz w:val="22"/>
        </w:rPr>
        <w:t>确保计算过程规范、数据准确，评分结果</w:t>
      </w:r>
      <w:r>
        <w:rPr>
          <w:rFonts w:ascii="Arial" w:eastAsia="等线" w:hAnsi="Arial" w:cs="Arial"/>
          <w:sz w:val="22"/>
        </w:rPr>
        <w:t>可直接用于绿色雨水基础设施评分验收。</w:t>
      </w:r>
    </w:p>
    <w:p w14:paraId="718F80B3" w14:textId="77777777" w:rsidR="00EF34F4" w:rsidRDefault="001B75D8">
      <w:pPr>
        <w:spacing w:before="320" w:after="120" w:line="288" w:lineRule="auto"/>
        <w:jc w:val="left"/>
        <w:outlineLvl w:val="1"/>
      </w:pPr>
      <w:bookmarkStart w:id="4" w:name="heading_4"/>
      <w:r>
        <w:rPr>
          <w:rFonts w:ascii="Arial" w:eastAsia="等线" w:hAnsi="Arial" w:cs="Arial"/>
          <w:b/>
          <w:sz w:val="32"/>
        </w:rPr>
        <w:t>二、场地基础参数确定</w:t>
      </w:r>
      <w:bookmarkEnd w:id="4"/>
    </w:p>
    <w:p w14:paraId="2949442C" w14:textId="77777777" w:rsidR="00EF34F4" w:rsidRDefault="001B75D8">
      <w:pPr>
        <w:spacing w:before="120" w:after="120" w:line="288" w:lineRule="auto"/>
        <w:jc w:val="left"/>
      </w:pPr>
      <w:r>
        <w:rPr>
          <w:rFonts w:ascii="Arial" w:eastAsia="等线" w:hAnsi="Arial" w:cs="Arial"/>
          <w:sz w:val="22"/>
        </w:rPr>
        <w:t>结合场地规划资料、设施设计参数及现场核算结果，确定本次评分计算所需的基础参数，所有参数均经核查确认，确保计算准确性，参数汇总如下（均为场地实际核算值）：</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760"/>
        <w:gridCol w:w="2070"/>
        <w:gridCol w:w="3450"/>
      </w:tblGrid>
      <w:tr w:rsidR="00EF34F4" w14:paraId="34E345D8" w14:textId="77777777">
        <w:tblPrEx>
          <w:tblCellMar>
            <w:top w:w="0" w:type="dxa"/>
            <w:bottom w:w="0" w:type="dxa"/>
          </w:tblCellMar>
        </w:tblPrEx>
        <w:tc>
          <w:tcPr>
            <w:tcW w:w="2760" w:type="dxa"/>
            <w:tcMar>
              <w:top w:w="60" w:type="dxa"/>
              <w:left w:w="120" w:type="dxa"/>
              <w:bottom w:w="30" w:type="dxa"/>
              <w:right w:w="120" w:type="dxa"/>
            </w:tcMar>
          </w:tcPr>
          <w:p w14:paraId="7AC90A3F" w14:textId="77777777" w:rsidR="00EF34F4" w:rsidRDefault="001B75D8">
            <w:pPr>
              <w:spacing w:before="120" w:after="120" w:line="288" w:lineRule="auto"/>
              <w:jc w:val="left"/>
            </w:pPr>
            <w:r>
              <w:rPr>
                <w:rFonts w:ascii="Arial" w:eastAsia="等线" w:hAnsi="Arial" w:cs="Arial"/>
                <w:sz w:val="22"/>
              </w:rPr>
              <w:t>参数名称</w:t>
            </w:r>
          </w:p>
        </w:tc>
        <w:tc>
          <w:tcPr>
            <w:tcW w:w="2070" w:type="dxa"/>
            <w:tcMar>
              <w:top w:w="60" w:type="dxa"/>
              <w:left w:w="120" w:type="dxa"/>
              <w:bottom w:w="30" w:type="dxa"/>
              <w:right w:w="120" w:type="dxa"/>
            </w:tcMar>
          </w:tcPr>
          <w:p w14:paraId="0D9B10EB" w14:textId="77777777" w:rsidR="00EF34F4" w:rsidRDefault="001B75D8">
            <w:pPr>
              <w:spacing w:before="120" w:after="120" w:line="288" w:lineRule="auto"/>
              <w:jc w:val="left"/>
            </w:pPr>
            <w:r>
              <w:rPr>
                <w:rFonts w:ascii="Arial" w:eastAsia="等线" w:hAnsi="Arial" w:cs="Arial"/>
                <w:sz w:val="22"/>
              </w:rPr>
              <w:t>参数值</w:t>
            </w:r>
          </w:p>
        </w:tc>
        <w:tc>
          <w:tcPr>
            <w:tcW w:w="3450" w:type="dxa"/>
            <w:tcMar>
              <w:top w:w="60" w:type="dxa"/>
              <w:left w:w="120" w:type="dxa"/>
              <w:bottom w:w="30" w:type="dxa"/>
              <w:right w:w="120" w:type="dxa"/>
            </w:tcMar>
          </w:tcPr>
          <w:p w14:paraId="10E4CEEE" w14:textId="77777777" w:rsidR="00EF34F4" w:rsidRDefault="001B75D8">
            <w:pPr>
              <w:spacing w:before="120" w:after="120" w:line="288" w:lineRule="auto"/>
              <w:jc w:val="left"/>
            </w:pPr>
            <w:r>
              <w:rPr>
                <w:rFonts w:ascii="Arial" w:eastAsia="等线" w:hAnsi="Arial" w:cs="Arial"/>
                <w:sz w:val="22"/>
              </w:rPr>
              <w:t>说明</w:t>
            </w:r>
          </w:p>
        </w:tc>
      </w:tr>
      <w:tr w:rsidR="00EF34F4" w14:paraId="5DE056E6" w14:textId="77777777">
        <w:tblPrEx>
          <w:tblCellMar>
            <w:top w:w="0" w:type="dxa"/>
            <w:bottom w:w="0" w:type="dxa"/>
          </w:tblCellMar>
        </w:tblPrEx>
        <w:tc>
          <w:tcPr>
            <w:tcW w:w="2760" w:type="dxa"/>
            <w:tcMar>
              <w:top w:w="60" w:type="dxa"/>
              <w:left w:w="120" w:type="dxa"/>
              <w:bottom w:w="30" w:type="dxa"/>
              <w:right w:w="120" w:type="dxa"/>
            </w:tcMar>
          </w:tcPr>
          <w:p w14:paraId="0DFB50F4" w14:textId="77777777" w:rsidR="00EF34F4" w:rsidRDefault="001B75D8">
            <w:pPr>
              <w:spacing w:before="120" w:after="120" w:line="288" w:lineRule="auto"/>
              <w:jc w:val="left"/>
            </w:pPr>
            <w:r>
              <w:rPr>
                <w:rFonts w:ascii="Arial" w:eastAsia="等线" w:hAnsi="Arial" w:cs="Arial"/>
                <w:sz w:val="22"/>
              </w:rPr>
              <w:t>场地总绿化面积</w:t>
            </w:r>
          </w:p>
        </w:tc>
        <w:tc>
          <w:tcPr>
            <w:tcW w:w="2070" w:type="dxa"/>
            <w:tcMar>
              <w:top w:w="60" w:type="dxa"/>
              <w:left w:w="120" w:type="dxa"/>
              <w:bottom w:w="30" w:type="dxa"/>
              <w:right w:w="120" w:type="dxa"/>
            </w:tcMar>
          </w:tcPr>
          <w:p w14:paraId="7D5D602D" w14:textId="46345BF0"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m²</w:t>
            </w:r>
          </w:p>
        </w:tc>
        <w:tc>
          <w:tcPr>
            <w:tcW w:w="3450" w:type="dxa"/>
            <w:tcMar>
              <w:top w:w="60" w:type="dxa"/>
              <w:left w:w="120" w:type="dxa"/>
              <w:bottom w:w="30" w:type="dxa"/>
              <w:right w:w="120" w:type="dxa"/>
            </w:tcMar>
          </w:tcPr>
          <w:p w14:paraId="023F9FC1" w14:textId="77777777" w:rsidR="00EF34F4" w:rsidRDefault="001B75D8">
            <w:pPr>
              <w:spacing w:before="120" w:after="120" w:line="288" w:lineRule="auto"/>
              <w:jc w:val="left"/>
            </w:pPr>
            <w:r>
              <w:rPr>
                <w:rFonts w:ascii="Arial" w:eastAsia="等线" w:hAnsi="Arial" w:cs="Arial"/>
                <w:sz w:val="22"/>
              </w:rPr>
              <w:t>含所有绿地区域，不含水体面积</w:t>
            </w:r>
          </w:p>
        </w:tc>
      </w:tr>
      <w:tr w:rsidR="00EF34F4" w14:paraId="06FD62D9" w14:textId="77777777">
        <w:tblPrEx>
          <w:tblCellMar>
            <w:top w:w="0" w:type="dxa"/>
            <w:bottom w:w="0" w:type="dxa"/>
          </w:tblCellMar>
        </w:tblPrEx>
        <w:tc>
          <w:tcPr>
            <w:tcW w:w="2760" w:type="dxa"/>
            <w:tcMar>
              <w:top w:w="60" w:type="dxa"/>
              <w:left w:w="120" w:type="dxa"/>
              <w:bottom w:w="30" w:type="dxa"/>
              <w:right w:w="120" w:type="dxa"/>
            </w:tcMar>
          </w:tcPr>
          <w:p w14:paraId="0272A0B5" w14:textId="77777777" w:rsidR="00EF34F4" w:rsidRDefault="001B75D8">
            <w:pPr>
              <w:spacing w:before="120" w:after="120" w:line="288" w:lineRule="auto"/>
              <w:jc w:val="left"/>
            </w:pPr>
            <w:r>
              <w:rPr>
                <w:rFonts w:ascii="Arial" w:eastAsia="等线" w:hAnsi="Arial" w:cs="Arial"/>
                <w:sz w:val="22"/>
              </w:rPr>
              <w:t>有调蓄功能的绿地面积</w:t>
            </w:r>
          </w:p>
        </w:tc>
        <w:tc>
          <w:tcPr>
            <w:tcW w:w="2070" w:type="dxa"/>
            <w:tcMar>
              <w:top w:w="60" w:type="dxa"/>
              <w:left w:w="120" w:type="dxa"/>
              <w:bottom w:w="30" w:type="dxa"/>
              <w:right w:w="120" w:type="dxa"/>
            </w:tcMar>
          </w:tcPr>
          <w:p w14:paraId="028C007F" w14:textId="61B7EE7C"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m²</w:t>
            </w:r>
          </w:p>
        </w:tc>
        <w:tc>
          <w:tcPr>
            <w:tcW w:w="3450" w:type="dxa"/>
            <w:tcMar>
              <w:top w:w="60" w:type="dxa"/>
              <w:left w:w="120" w:type="dxa"/>
              <w:bottom w:w="30" w:type="dxa"/>
              <w:right w:w="120" w:type="dxa"/>
            </w:tcMar>
          </w:tcPr>
          <w:p w14:paraId="4FFBB937" w14:textId="77777777" w:rsidR="00EF34F4" w:rsidRDefault="001B75D8">
            <w:pPr>
              <w:spacing w:before="120" w:after="120" w:line="288" w:lineRule="auto"/>
              <w:jc w:val="left"/>
            </w:pPr>
            <w:r>
              <w:rPr>
                <w:rFonts w:ascii="Arial" w:eastAsia="等线" w:hAnsi="Arial" w:cs="Arial"/>
                <w:sz w:val="22"/>
              </w:rPr>
              <w:t>含下凹式绿地、雨水花园等，具备雨水调蓄滞蓄功能</w:t>
            </w:r>
          </w:p>
        </w:tc>
      </w:tr>
      <w:tr w:rsidR="00EF34F4" w14:paraId="25F77E22" w14:textId="77777777">
        <w:tblPrEx>
          <w:tblCellMar>
            <w:top w:w="0" w:type="dxa"/>
            <w:bottom w:w="0" w:type="dxa"/>
          </w:tblCellMar>
        </w:tblPrEx>
        <w:tc>
          <w:tcPr>
            <w:tcW w:w="2760" w:type="dxa"/>
            <w:tcMar>
              <w:top w:w="60" w:type="dxa"/>
              <w:left w:w="120" w:type="dxa"/>
              <w:bottom w:w="30" w:type="dxa"/>
              <w:right w:w="120" w:type="dxa"/>
            </w:tcMar>
          </w:tcPr>
          <w:p w14:paraId="41C5D1EF" w14:textId="77777777" w:rsidR="00EF34F4" w:rsidRDefault="001B75D8">
            <w:pPr>
              <w:spacing w:before="120" w:after="120" w:line="288" w:lineRule="auto"/>
              <w:jc w:val="left"/>
            </w:pPr>
            <w:r>
              <w:rPr>
                <w:rFonts w:ascii="Arial" w:eastAsia="等线" w:hAnsi="Arial" w:cs="Arial"/>
                <w:sz w:val="22"/>
              </w:rPr>
              <w:t>有调蓄功能的水体面积</w:t>
            </w:r>
          </w:p>
        </w:tc>
        <w:tc>
          <w:tcPr>
            <w:tcW w:w="2070" w:type="dxa"/>
            <w:tcMar>
              <w:top w:w="60" w:type="dxa"/>
              <w:left w:w="120" w:type="dxa"/>
              <w:bottom w:w="30" w:type="dxa"/>
              <w:right w:w="120" w:type="dxa"/>
            </w:tcMar>
          </w:tcPr>
          <w:p w14:paraId="5D139304" w14:textId="68450541"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m²</w:t>
            </w:r>
          </w:p>
        </w:tc>
        <w:tc>
          <w:tcPr>
            <w:tcW w:w="3450" w:type="dxa"/>
            <w:tcMar>
              <w:top w:w="60" w:type="dxa"/>
              <w:left w:w="120" w:type="dxa"/>
              <w:bottom w:w="30" w:type="dxa"/>
              <w:right w:w="120" w:type="dxa"/>
            </w:tcMar>
          </w:tcPr>
          <w:p w14:paraId="52FBEE72" w14:textId="77777777" w:rsidR="00EF34F4" w:rsidRDefault="001B75D8">
            <w:pPr>
              <w:spacing w:before="120" w:after="120" w:line="288" w:lineRule="auto"/>
              <w:jc w:val="left"/>
            </w:pPr>
            <w:r>
              <w:rPr>
                <w:rFonts w:ascii="Arial" w:eastAsia="等线" w:hAnsi="Arial" w:cs="Arial"/>
                <w:sz w:val="22"/>
              </w:rPr>
              <w:t>场地内用于雨水调蓄的天然或人工水体</w:t>
            </w:r>
          </w:p>
        </w:tc>
      </w:tr>
      <w:tr w:rsidR="00EF34F4" w14:paraId="22426E46" w14:textId="77777777">
        <w:tblPrEx>
          <w:tblCellMar>
            <w:top w:w="0" w:type="dxa"/>
            <w:bottom w:w="0" w:type="dxa"/>
          </w:tblCellMar>
        </w:tblPrEx>
        <w:tc>
          <w:tcPr>
            <w:tcW w:w="2760" w:type="dxa"/>
            <w:tcMar>
              <w:top w:w="60" w:type="dxa"/>
              <w:left w:w="120" w:type="dxa"/>
              <w:bottom w:w="30" w:type="dxa"/>
              <w:right w:w="120" w:type="dxa"/>
            </w:tcMar>
          </w:tcPr>
          <w:p w14:paraId="22AE955A" w14:textId="77777777" w:rsidR="00EF34F4" w:rsidRDefault="001B75D8">
            <w:pPr>
              <w:spacing w:before="120" w:after="120" w:line="288" w:lineRule="auto"/>
              <w:jc w:val="left"/>
            </w:pPr>
            <w:r>
              <w:rPr>
                <w:rFonts w:ascii="Arial" w:eastAsia="等线" w:hAnsi="Arial" w:cs="Arial"/>
                <w:sz w:val="22"/>
              </w:rPr>
              <w:t>场地总屋面面积</w:t>
            </w:r>
          </w:p>
        </w:tc>
        <w:tc>
          <w:tcPr>
            <w:tcW w:w="2070" w:type="dxa"/>
            <w:tcMar>
              <w:top w:w="60" w:type="dxa"/>
              <w:left w:w="120" w:type="dxa"/>
              <w:bottom w:w="30" w:type="dxa"/>
              <w:right w:w="120" w:type="dxa"/>
            </w:tcMar>
          </w:tcPr>
          <w:p w14:paraId="1EA45D9D" w14:textId="3AE77245"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m²</w:t>
            </w:r>
          </w:p>
        </w:tc>
        <w:tc>
          <w:tcPr>
            <w:tcW w:w="3450" w:type="dxa"/>
            <w:tcMar>
              <w:top w:w="60" w:type="dxa"/>
              <w:left w:w="120" w:type="dxa"/>
              <w:bottom w:w="30" w:type="dxa"/>
              <w:right w:w="120" w:type="dxa"/>
            </w:tcMar>
          </w:tcPr>
          <w:p w14:paraId="22A80131" w14:textId="77777777" w:rsidR="00EF34F4" w:rsidRDefault="001B75D8">
            <w:pPr>
              <w:spacing w:before="120" w:after="120" w:line="288" w:lineRule="auto"/>
              <w:jc w:val="left"/>
            </w:pPr>
            <w:r>
              <w:rPr>
                <w:rFonts w:ascii="Arial" w:eastAsia="等线" w:hAnsi="Arial" w:cs="Arial"/>
                <w:sz w:val="22"/>
              </w:rPr>
              <w:t>场地内所有建筑屋面总面积，含平屋面、坡屋面</w:t>
            </w:r>
          </w:p>
        </w:tc>
      </w:tr>
      <w:tr w:rsidR="00EF34F4" w14:paraId="37234F2F" w14:textId="77777777">
        <w:tblPrEx>
          <w:tblCellMar>
            <w:top w:w="0" w:type="dxa"/>
            <w:bottom w:w="0" w:type="dxa"/>
          </w:tblCellMar>
        </w:tblPrEx>
        <w:tc>
          <w:tcPr>
            <w:tcW w:w="2760" w:type="dxa"/>
            <w:tcMar>
              <w:top w:w="60" w:type="dxa"/>
              <w:left w:w="120" w:type="dxa"/>
              <w:bottom w:w="30" w:type="dxa"/>
              <w:right w:w="120" w:type="dxa"/>
            </w:tcMar>
          </w:tcPr>
          <w:p w14:paraId="698D331E" w14:textId="77777777" w:rsidR="00EF34F4" w:rsidRDefault="001B75D8">
            <w:pPr>
              <w:spacing w:before="120" w:after="120" w:line="288" w:lineRule="auto"/>
              <w:jc w:val="left"/>
            </w:pPr>
            <w:r>
              <w:rPr>
                <w:rFonts w:ascii="Arial" w:eastAsia="等线" w:hAnsi="Arial" w:cs="Arial"/>
                <w:sz w:val="22"/>
              </w:rPr>
              <w:t>衔接引导进入设施的屋面雨水对应面积</w:t>
            </w:r>
          </w:p>
        </w:tc>
        <w:tc>
          <w:tcPr>
            <w:tcW w:w="2070" w:type="dxa"/>
            <w:tcMar>
              <w:top w:w="60" w:type="dxa"/>
              <w:left w:w="120" w:type="dxa"/>
              <w:bottom w:w="30" w:type="dxa"/>
              <w:right w:w="120" w:type="dxa"/>
            </w:tcMar>
          </w:tcPr>
          <w:p w14:paraId="68EEEEDF" w14:textId="5C178ADF"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m²</w:t>
            </w:r>
          </w:p>
        </w:tc>
        <w:tc>
          <w:tcPr>
            <w:tcW w:w="3450" w:type="dxa"/>
            <w:tcMar>
              <w:top w:w="60" w:type="dxa"/>
              <w:left w:w="120" w:type="dxa"/>
              <w:bottom w:w="30" w:type="dxa"/>
              <w:right w:w="120" w:type="dxa"/>
            </w:tcMar>
          </w:tcPr>
          <w:p w14:paraId="314ECD36" w14:textId="77777777" w:rsidR="00EF34F4" w:rsidRDefault="001B75D8">
            <w:pPr>
              <w:spacing w:before="120" w:after="120" w:line="288" w:lineRule="auto"/>
              <w:jc w:val="left"/>
            </w:pPr>
            <w:r>
              <w:rPr>
                <w:rFonts w:ascii="Arial" w:eastAsia="等线" w:hAnsi="Arial" w:cs="Arial"/>
                <w:sz w:val="22"/>
              </w:rPr>
              <w:t>通过管道、沟渠等衔接引导至绿色雨水设施的屋面面积</w:t>
            </w:r>
          </w:p>
        </w:tc>
      </w:tr>
      <w:tr w:rsidR="00EF34F4" w14:paraId="788110E6" w14:textId="77777777">
        <w:tblPrEx>
          <w:tblCellMar>
            <w:top w:w="0" w:type="dxa"/>
            <w:bottom w:w="0" w:type="dxa"/>
          </w:tblCellMar>
        </w:tblPrEx>
        <w:tc>
          <w:tcPr>
            <w:tcW w:w="2760" w:type="dxa"/>
            <w:tcMar>
              <w:top w:w="60" w:type="dxa"/>
              <w:left w:w="120" w:type="dxa"/>
              <w:bottom w:w="30" w:type="dxa"/>
              <w:right w:w="120" w:type="dxa"/>
            </w:tcMar>
          </w:tcPr>
          <w:p w14:paraId="60A18B40" w14:textId="77777777" w:rsidR="00EF34F4" w:rsidRDefault="001B75D8">
            <w:pPr>
              <w:spacing w:before="120" w:after="120" w:line="288" w:lineRule="auto"/>
              <w:jc w:val="left"/>
            </w:pPr>
            <w:r>
              <w:rPr>
                <w:rFonts w:ascii="Arial" w:eastAsia="等线" w:hAnsi="Arial" w:cs="Arial"/>
                <w:sz w:val="22"/>
              </w:rPr>
              <w:t>场地总道路面积</w:t>
            </w:r>
          </w:p>
        </w:tc>
        <w:tc>
          <w:tcPr>
            <w:tcW w:w="2070" w:type="dxa"/>
            <w:tcMar>
              <w:top w:w="60" w:type="dxa"/>
              <w:left w:w="120" w:type="dxa"/>
              <w:bottom w:w="30" w:type="dxa"/>
              <w:right w:w="120" w:type="dxa"/>
            </w:tcMar>
          </w:tcPr>
          <w:p w14:paraId="3067F389" w14:textId="0E3763A2"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m²</w:t>
            </w:r>
          </w:p>
        </w:tc>
        <w:tc>
          <w:tcPr>
            <w:tcW w:w="3450" w:type="dxa"/>
            <w:tcMar>
              <w:top w:w="60" w:type="dxa"/>
              <w:left w:w="120" w:type="dxa"/>
              <w:bottom w:w="30" w:type="dxa"/>
              <w:right w:w="120" w:type="dxa"/>
            </w:tcMar>
          </w:tcPr>
          <w:p w14:paraId="1EF6AE15" w14:textId="77777777" w:rsidR="00EF34F4" w:rsidRDefault="001B75D8">
            <w:pPr>
              <w:spacing w:before="120" w:after="120" w:line="288" w:lineRule="auto"/>
              <w:jc w:val="left"/>
            </w:pPr>
            <w:r>
              <w:rPr>
                <w:rFonts w:ascii="Arial" w:eastAsia="等线" w:hAnsi="Arial" w:cs="Arial"/>
                <w:sz w:val="22"/>
              </w:rPr>
              <w:t>场地内所有道路（含车行道、人行道）总面积</w:t>
            </w:r>
          </w:p>
        </w:tc>
      </w:tr>
      <w:tr w:rsidR="00EF34F4" w14:paraId="63468560" w14:textId="77777777">
        <w:tblPrEx>
          <w:tblCellMar>
            <w:top w:w="0" w:type="dxa"/>
            <w:bottom w:w="0" w:type="dxa"/>
          </w:tblCellMar>
        </w:tblPrEx>
        <w:tc>
          <w:tcPr>
            <w:tcW w:w="2760" w:type="dxa"/>
            <w:tcMar>
              <w:top w:w="60" w:type="dxa"/>
              <w:left w:w="120" w:type="dxa"/>
              <w:bottom w:w="30" w:type="dxa"/>
              <w:right w:w="120" w:type="dxa"/>
            </w:tcMar>
          </w:tcPr>
          <w:p w14:paraId="0A724D61" w14:textId="77777777" w:rsidR="00EF34F4" w:rsidRDefault="001B75D8">
            <w:pPr>
              <w:spacing w:before="120" w:after="120" w:line="288" w:lineRule="auto"/>
              <w:jc w:val="left"/>
            </w:pPr>
            <w:r>
              <w:rPr>
                <w:rFonts w:ascii="Arial" w:eastAsia="等线" w:hAnsi="Arial" w:cs="Arial"/>
                <w:sz w:val="22"/>
              </w:rPr>
              <w:t>衔接引导进入设施的道路雨水对应面积</w:t>
            </w:r>
          </w:p>
        </w:tc>
        <w:tc>
          <w:tcPr>
            <w:tcW w:w="2070" w:type="dxa"/>
            <w:tcMar>
              <w:top w:w="60" w:type="dxa"/>
              <w:left w:w="120" w:type="dxa"/>
              <w:bottom w:w="30" w:type="dxa"/>
              <w:right w:w="120" w:type="dxa"/>
            </w:tcMar>
          </w:tcPr>
          <w:p w14:paraId="5E0F4599" w14:textId="7DF5F06D"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m²</w:t>
            </w:r>
          </w:p>
        </w:tc>
        <w:tc>
          <w:tcPr>
            <w:tcW w:w="3450" w:type="dxa"/>
            <w:tcMar>
              <w:top w:w="60" w:type="dxa"/>
              <w:left w:w="120" w:type="dxa"/>
              <w:bottom w:w="30" w:type="dxa"/>
              <w:right w:w="120" w:type="dxa"/>
            </w:tcMar>
          </w:tcPr>
          <w:p w14:paraId="0AEDE3BD" w14:textId="77777777" w:rsidR="00EF34F4" w:rsidRDefault="001B75D8">
            <w:pPr>
              <w:spacing w:before="120" w:after="120" w:line="288" w:lineRule="auto"/>
              <w:jc w:val="left"/>
            </w:pPr>
            <w:r>
              <w:rPr>
                <w:rFonts w:ascii="Arial" w:eastAsia="等线" w:hAnsi="Arial" w:cs="Arial"/>
                <w:sz w:val="22"/>
              </w:rPr>
              <w:t>通过路沿石开口、植草沟等引导至绿色雨水设施的道路面积</w:t>
            </w:r>
          </w:p>
        </w:tc>
      </w:tr>
      <w:tr w:rsidR="00EF34F4" w14:paraId="603617DC" w14:textId="77777777">
        <w:tblPrEx>
          <w:tblCellMar>
            <w:top w:w="0" w:type="dxa"/>
            <w:bottom w:w="0" w:type="dxa"/>
          </w:tblCellMar>
        </w:tblPrEx>
        <w:tc>
          <w:tcPr>
            <w:tcW w:w="2760" w:type="dxa"/>
            <w:tcMar>
              <w:top w:w="60" w:type="dxa"/>
              <w:left w:w="120" w:type="dxa"/>
              <w:bottom w:w="30" w:type="dxa"/>
              <w:right w:w="120" w:type="dxa"/>
            </w:tcMar>
          </w:tcPr>
          <w:p w14:paraId="2377AB2A" w14:textId="77777777" w:rsidR="00EF34F4" w:rsidRDefault="001B75D8">
            <w:pPr>
              <w:spacing w:before="120" w:after="120" w:line="288" w:lineRule="auto"/>
              <w:jc w:val="left"/>
            </w:pPr>
            <w:r>
              <w:rPr>
                <w:rFonts w:ascii="Arial" w:eastAsia="等线" w:hAnsi="Arial" w:cs="Arial"/>
                <w:sz w:val="22"/>
              </w:rPr>
              <w:t>场地总硬质铺装面积</w:t>
            </w:r>
          </w:p>
        </w:tc>
        <w:tc>
          <w:tcPr>
            <w:tcW w:w="2070" w:type="dxa"/>
            <w:tcMar>
              <w:top w:w="60" w:type="dxa"/>
              <w:left w:w="120" w:type="dxa"/>
              <w:bottom w:w="30" w:type="dxa"/>
              <w:right w:w="120" w:type="dxa"/>
            </w:tcMar>
          </w:tcPr>
          <w:p w14:paraId="40EE2454" w14:textId="5F1576BD"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m²</w:t>
            </w:r>
          </w:p>
        </w:tc>
        <w:tc>
          <w:tcPr>
            <w:tcW w:w="3450" w:type="dxa"/>
            <w:tcMar>
              <w:top w:w="60" w:type="dxa"/>
              <w:left w:w="120" w:type="dxa"/>
              <w:bottom w:w="30" w:type="dxa"/>
              <w:right w:w="120" w:type="dxa"/>
            </w:tcMar>
          </w:tcPr>
          <w:p w14:paraId="0AF47B97" w14:textId="77777777" w:rsidR="00EF34F4" w:rsidRDefault="001B75D8">
            <w:pPr>
              <w:spacing w:before="120" w:after="120" w:line="288" w:lineRule="auto"/>
              <w:jc w:val="left"/>
            </w:pPr>
            <w:r>
              <w:rPr>
                <w:rFonts w:ascii="Arial" w:eastAsia="等线" w:hAnsi="Arial" w:cs="Arial"/>
                <w:sz w:val="22"/>
              </w:rPr>
              <w:t>含道路、广场、停车场等所有硬质铺装区域，参考相关规范核算标准</w:t>
            </w:r>
          </w:p>
        </w:tc>
      </w:tr>
      <w:tr w:rsidR="00EF34F4" w14:paraId="0D0ABD5A" w14:textId="77777777">
        <w:tblPrEx>
          <w:tblCellMar>
            <w:top w:w="0" w:type="dxa"/>
            <w:bottom w:w="0" w:type="dxa"/>
          </w:tblCellMar>
        </w:tblPrEx>
        <w:tc>
          <w:tcPr>
            <w:tcW w:w="2760" w:type="dxa"/>
            <w:tcMar>
              <w:top w:w="60" w:type="dxa"/>
              <w:left w:w="120" w:type="dxa"/>
              <w:bottom w:w="30" w:type="dxa"/>
              <w:right w:w="120" w:type="dxa"/>
            </w:tcMar>
          </w:tcPr>
          <w:p w14:paraId="163E421E" w14:textId="77777777" w:rsidR="00EF34F4" w:rsidRDefault="001B75D8">
            <w:pPr>
              <w:spacing w:before="120" w:after="120" w:line="288" w:lineRule="auto"/>
              <w:jc w:val="left"/>
            </w:pPr>
            <w:r>
              <w:rPr>
                <w:rFonts w:ascii="Arial" w:eastAsia="等线" w:hAnsi="Arial" w:cs="Arial"/>
                <w:sz w:val="22"/>
              </w:rPr>
              <w:t>硬质铺装中透水铺装面积</w:t>
            </w:r>
          </w:p>
        </w:tc>
        <w:tc>
          <w:tcPr>
            <w:tcW w:w="2070" w:type="dxa"/>
            <w:tcMar>
              <w:top w:w="60" w:type="dxa"/>
              <w:left w:w="120" w:type="dxa"/>
              <w:bottom w:w="30" w:type="dxa"/>
              <w:right w:w="120" w:type="dxa"/>
            </w:tcMar>
          </w:tcPr>
          <w:p w14:paraId="6D7B41A7" w14:textId="5579154A"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m²</w:t>
            </w:r>
          </w:p>
        </w:tc>
        <w:tc>
          <w:tcPr>
            <w:tcW w:w="3450" w:type="dxa"/>
            <w:tcMar>
              <w:top w:w="60" w:type="dxa"/>
              <w:left w:w="120" w:type="dxa"/>
              <w:bottom w:w="30" w:type="dxa"/>
              <w:right w:w="120" w:type="dxa"/>
            </w:tcMar>
          </w:tcPr>
          <w:p w14:paraId="2C928BD2" w14:textId="77777777" w:rsidR="00EF34F4" w:rsidRDefault="001B75D8">
            <w:pPr>
              <w:spacing w:before="120" w:after="120" w:line="288" w:lineRule="auto"/>
              <w:jc w:val="left"/>
            </w:pPr>
            <w:r>
              <w:rPr>
                <w:rFonts w:ascii="Arial" w:eastAsia="等线" w:hAnsi="Arial" w:cs="Arial"/>
                <w:sz w:val="22"/>
              </w:rPr>
              <w:t>采用透水砖、嵌草砖等透水材质的铺装面积，符合海绵城市建设要求</w:t>
            </w:r>
          </w:p>
        </w:tc>
      </w:tr>
    </w:tbl>
    <w:p w14:paraId="700ED2CD" w14:textId="77777777" w:rsidR="00EF34F4" w:rsidRDefault="001B75D8">
      <w:pPr>
        <w:spacing w:before="320" w:after="120" w:line="288" w:lineRule="auto"/>
        <w:jc w:val="left"/>
        <w:outlineLvl w:val="1"/>
      </w:pPr>
      <w:bookmarkStart w:id="5" w:name="heading_5"/>
      <w:r>
        <w:rPr>
          <w:rFonts w:ascii="Arial" w:eastAsia="等线" w:hAnsi="Arial" w:cs="Arial"/>
          <w:b/>
          <w:sz w:val="32"/>
        </w:rPr>
        <w:t>三、评分项逐项计算与评分</w:t>
      </w:r>
      <w:bookmarkEnd w:id="5"/>
    </w:p>
    <w:p w14:paraId="03B9E9A7" w14:textId="77777777" w:rsidR="00EF34F4" w:rsidRDefault="001B75D8">
      <w:pPr>
        <w:spacing w:before="120" w:after="120" w:line="288" w:lineRule="auto"/>
        <w:jc w:val="left"/>
      </w:pPr>
      <w:r>
        <w:rPr>
          <w:rFonts w:ascii="Arial" w:eastAsia="等线" w:hAnsi="Arial" w:cs="Arial"/>
          <w:sz w:val="22"/>
        </w:rPr>
        <w:lastRenderedPageBreak/>
        <w:t>本次评分按</w:t>
      </w:r>
      <w:r>
        <w:rPr>
          <w:rFonts w:ascii="Arial" w:eastAsia="等线" w:hAnsi="Arial" w:cs="Arial"/>
          <w:sz w:val="22"/>
        </w:rPr>
        <w:t>4</w:t>
      </w:r>
      <w:r>
        <w:rPr>
          <w:rFonts w:ascii="Arial" w:eastAsia="等线" w:hAnsi="Arial" w:cs="Arial"/>
          <w:sz w:val="22"/>
        </w:rPr>
        <w:t>项规则分别计算、逐项评分，累计得出总得分，计算过程严格遵循评分规则，结合场地实际参数，确保每一项核算结果准确、评分有据可依，充分体现绿色雨水基础设施的滞蓄、下渗及径流汇集效能。</w:t>
      </w:r>
    </w:p>
    <w:p w14:paraId="0E4563CB" w14:textId="77777777" w:rsidR="00EF34F4" w:rsidRDefault="001B75D8">
      <w:pPr>
        <w:spacing w:before="300" w:after="120" w:line="288" w:lineRule="auto"/>
        <w:jc w:val="left"/>
        <w:outlineLvl w:val="2"/>
      </w:pPr>
      <w:bookmarkStart w:id="6" w:name="heading_6"/>
      <w:r>
        <w:rPr>
          <w:rFonts w:ascii="Arial" w:eastAsia="等线" w:hAnsi="Arial" w:cs="Arial"/>
          <w:b/>
          <w:sz w:val="30"/>
        </w:rPr>
        <w:t>（一）评分项</w:t>
      </w:r>
      <w:r>
        <w:rPr>
          <w:rFonts w:ascii="Arial" w:eastAsia="等线" w:hAnsi="Arial" w:cs="Arial"/>
          <w:b/>
          <w:sz w:val="30"/>
        </w:rPr>
        <w:t>1</w:t>
      </w:r>
      <w:r>
        <w:rPr>
          <w:rFonts w:ascii="Arial" w:eastAsia="等线" w:hAnsi="Arial" w:cs="Arial"/>
          <w:b/>
          <w:sz w:val="30"/>
        </w:rPr>
        <w:t>：有调蓄雨水功能的绿地和水体面积占比核算及评分</w:t>
      </w:r>
      <w:bookmarkEnd w:id="6"/>
    </w:p>
    <w:p w14:paraId="17121819" w14:textId="2BB9DBA2" w:rsidR="00EF34F4" w:rsidRDefault="001B75D8">
      <w:pPr>
        <w:spacing w:before="120" w:after="120" w:line="288" w:lineRule="auto"/>
        <w:jc w:val="left"/>
      </w:pPr>
      <w:r>
        <w:rPr>
          <w:rFonts w:ascii="Arial" w:eastAsia="等线" w:hAnsi="Arial" w:cs="Arial"/>
          <w:sz w:val="22"/>
        </w:rPr>
        <w:t>1.</w:t>
      </w:r>
      <w:r>
        <w:rPr>
          <w:rFonts w:ascii="Arial" w:eastAsia="等线" w:hAnsi="Arial" w:cs="Arial"/>
          <w:sz w:val="22"/>
        </w:rPr>
        <w:t>评分规则：下凹式绿地、雨水花园等有调蓄雨水功能的绿地和水体的面积之和占绿地面积的比例达到</w:t>
      </w:r>
      <w:r>
        <w:rPr>
          <w:rFonts w:ascii="Arial" w:eastAsia="等线" w:hAnsi="Arial" w:cs="Arial"/>
          <w:sz w:val="22"/>
        </w:rPr>
        <w:t>40%</w:t>
      </w:r>
      <w:r>
        <w:rPr>
          <w:rFonts w:ascii="Arial" w:eastAsia="等线" w:hAnsi="Arial" w:cs="Arial"/>
          <w:sz w:val="22"/>
        </w:rPr>
        <w:t>，得</w:t>
      </w:r>
      <w:r>
        <w:rPr>
          <w:rFonts w:ascii="Arial" w:eastAsia="等线" w:hAnsi="Arial" w:cs="Arial"/>
          <w:sz w:val="22"/>
        </w:rPr>
        <w:t>3</w:t>
      </w:r>
      <w:r>
        <w:rPr>
          <w:rFonts w:ascii="Arial" w:eastAsia="等线" w:hAnsi="Arial" w:cs="Arial"/>
          <w:sz w:val="22"/>
        </w:rPr>
        <w:t>分；达到</w:t>
      </w:r>
      <w:r>
        <w:rPr>
          <w:rFonts w:ascii="Arial" w:eastAsia="等线" w:hAnsi="Arial" w:cs="Arial"/>
          <w:sz w:val="22"/>
        </w:rPr>
        <w:t>60%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p>
    <w:p w14:paraId="2C333726" w14:textId="65D88655" w:rsidR="00EF34F4" w:rsidRDefault="001B75D8">
      <w:pPr>
        <w:spacing w:before="120" w:after="120" w:line="288" w:lineRule="auto"/>
        <w:jc w:val="left"/>
      </w:pPr>
      <w:r>
        <w:rPr>
          <w:rFonts w:ascii="Arial" w:eastAsia="等线" w:hAnsi="Arial" w:cs="Arial"/>
          <w:sz w:val="22"/>
        </w:rPr>
        <w:t>2.</w:t>
      </w:r>
      <w:r>
        <w:rPr>
          <w:rFonts w:ascii="Arial" w:eastAsia="等线" w:hAnsi="Arial" w:cs="Arial"/>
          <w:sz w:val="22"/>
        </w:rPr>
        <w:t>计算方法：</w:t>
      </w:r>
    </w:p>
    <w:p w14:paraId="43D76BE5" w14:textId="77777777" w:rsidR="00EF34F4" w:rsidRDefault="001B75D8">
      <w:pPr>
        <w:spacing w:before="120" w:after="120" w:line="288" w:lineRule="auto"/>
        <w:jc w:val="left"/>
      </w:pPr>
      <w:r>
        <w:rPr>
          <w:rFonts w:ascii="Arial" w:eastAsia="等线" w:hAnsi="Arial" w:cs="Arial"/>
          <w:sz w:val="22"/>
        </w:rPr>
        <w:t>核心公式：</w:t>
      </w:r>
      <m:oMath>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调蓄绿地</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调蓄水体</m:t>
                </m:r>
              </m:sub>
            </m:sSub>
          </m:num>
          <m:den>
            <m:sSub>
              <m:sSubPr>
                <m:ctrlPr>
                  <w:rPr>
                    <w:rFonts w:ascii="Cambria Math" w:hAnsi="Cambria Math"/>
                  </w:rPr>
                </m:ctrlPr>
              </m:sSubPr>
              <m:e>
                <m:r>
                  <w:rPr>
                    <w:rFonts w:ascii="Cambria Math" w:hAnsi="Cambria Math"/>
                  </w:rPr>
                  <m:t>S</m:t>
                </m:r>
              </m:e>
              <m:sub>
                <m:r>
                  <w:rPr>
                    <w:rFonts w:ascii="Cambria Math" w:hAnsi="Cambria Math"/>
                  </w:rPr>
                  <m:t>总绿化</m:t>
                </m:r>
              </m:sub>
            </m:sSub>
          </m:den>
        </m:f>
        <m:r>
          <w:rPr>
            <w:rFonts w:ascii="Cambria Math" w:hAnsi="Cambria Math"/>
          </w:rPr>
          <m:t>×100%</m:t>
        </m:r>
      </m:oMath>
    </w:p>
    <w:p w14:paraId="3A5307C9" w14:textId="77777777" w:rsidR="00EF34F4" w:rsidRDefault="001B75D8">
      <w:pPr>
        <w:spacing w:before="120" w:after="120" w:line="288" w:lineRule="auto"/>
        <w:jc w:val="left"/>
      </w:pPr>
      <w:r>
        <w:rPr>
          <w:rFonts w:ascii="Arial" w:eastAsia="等线" w:hAnsi="Arial" w:cs="Arial"/>
          <w:sz w:val="22"/>
        </w:rPr>
        <w:t>式中：</w:t>
      </w:r>
    </w:p>
    <w:p w14:paraId="1E5E6A76"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γ</m:t>
            </m:r>
          </m:e>
          <m:sub>
            <m:r>
              <w:rPr>
                <w:rFonts w:ascii="Cambria Math" w:hAnsi="Cambria Math"/>
              </w:rPr>
              <m:t>1</m:t>
            </m:r>
          </m:sub>
        </m:sSub>
      </m:oMath>
      <w:r>
        <w:rPr>
          <w:rFonts w:ascii="Arial" w:eastAsia="等线" w:hAnsi="Arial" w:cs="Arial"/>
          <w:sz w:val="22"/>
        </w:rPr>
        <w:t>——</w:t>
      </w:r>
      <w:r>
        <w:rPr>
          <w:rFonts w:ascii="Arial" w:eastAsia="等线" w:hAnsi="Arial" w:cs="Arial"/>
          <w:sz w:val="22"/>
        </w:rPr>
        <w:t>有调蓄功能的绿地和水体面积占总绿化面积的比例（</w:t>
      </w:r>
      <w:r>
        <w:rPr>
          <w:rFonts w:ascii="Arial" w:eastAsia="等线" w:hAnsi="Arial" w:cs="Arial"/>
          <w:sz w:val="22"/>
        </w:rPr>
        <w:t>%</w:t>
      </w:r>
      <w:r>
        <w:rPr>
          <w:rFonts w:ascii="Arial" w:eastAsia="等线" w:hAnsi="Arial" w:cs="Arial"/>
          <w:sz w:val="22"/>
        </w:rPr>
        <w:t>）；</w:t>
      </w:r>
    </w:p>
    <w:p w14:paraId="2726EC70"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S</m:t>
            </m:r>
          </m:e>
          <m:sub>
            <m:r>
              <w:rPr>
                <w:rFonts w:ascii="Cambria Math" w:hAnsi="Cambria Math"/>
              </w:rPr>
              <m:t>调蓄绿地</m:t>
            </m:r>
          </m:sub>
        </m:sSub>
      </m:oMath>
      <w:r>
        <w:rPr>
          <w:rFonts w:ascii="Arial" w:eastAsia="等线" w:hAnsi="Arial" w:cs="Arial"/>
          <w:sz w:val="22"/>
        </w:rPr>
        <w:t>——</w:t>
      </w:r>
      <w:r>
        <w:rPr>
          <w:rFonts w:ascii="Arial" w:eastAsia="等线" w:hAnsi="Arial" w:cs="Arial"/>
          <w:sz w:val="22"/>
        </w:rPr>
        <w:t>有调蓄雨水功能的绿地面积（</w:t>
      </w:r>
      <w:r>
        <w:rPr>
          <w:rFonts w:ascii="Arial" w:eastAsia="等线" w:hAnsi="Arial" w:cs="Arial"/>
          <w:sz w:val="22"/>
        </w:rPr>
        <w:t>m²</w:t>
      </w:r>
      <w:r>
        <w:rPr>
          <w:rFonts w:ascii="Arial" w:eastAsia="等线" w:hAnsi="Arial" w:cs="Arial"/>
          <w:sz w:val="22"/>
        </w:rPr>
        <w:t>）；</w:t>
      </w:r>
    </w:p>
    <w:p w14:paraId="1B4947AD"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S</m:t>
            </m:r>
          </m:e>
          <m:sub>
            <m:r>
              <w:rPr>
                <w:rFonts w:ascii="Cambria Math" w:hAnsi="Cambria Math"/>
              </w:rPr>
              <m:t>调蓄水体</m:t>
            </m:r>
          </m:sub>
        </m:sSub>
      </m:oMath>
      <w:r>
        <w:rPr>
          <w:rFonts w:ascii="Arial" w:eastAsia="等线" w:hAnsi="Arial" w:cs="Arial"/>
          <w:sz w:val="22"/>
        </w:rPr>
        <w:t>——</w:t>
      </w:r>
      <w:r>
        <w:rPr>
          <w:rFonts w:ascii="Arial" w:eastAsia="等线" w:hAnsi="Arial" w:cs="Arial"/>
          <w:sz w:val="22"/>
        </w:rPr>
        <w:t>有调蓄雨水功能的水体面积（</w:t>
      </w:r>
      <w:r>
        <w:rPr>
          <w:rFonts w:ascii="Arial" w:eastAsia="等线" w:hAnsi="Arial" w:cs="Arial"/>
          <w:sz w:val="22"/>
        </w:rPr>
        <w:t>m²</w:t>
      </w:r>
      <w:r>
        <w:rPr>
          <w:rFonts w:ascii="Arial" w:eastAsia="等线" w:hAnsi="Arial" w:cs="Arial"/>
          <w:sz w:val="22"/>
        </w:rPr>
        <w:t>）；</w:t>
      </w:r>
    </w:p>
    <w:p w14:paraId="654F7A28"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S</m:t>
            </m:r>
          </m:e>
          <m:sub>
            <m:r>
              <w:rPr>
                <w:rFonts w:ascii="Cambria Math" w:hAnsi="Cambria Math"/>
              </w:rPr>
              <m:t>总绿化</m:t>
            </m:r>
          </m:sub>
        </m:sSub>
      </m:oMath>
      <w:r>
        <w:rPr>
          <w:rFonts w:ascii="Arial" w:eastAsia="等线" w:hAnsi="Arial" w:cs="Arial"/>
          <w:sz w:val="22"/>
        </w:rPr>
        <w:t>——</w:t>
      </w:r>
      <w:r>
        <w:rPr>
          <w:rFonts w:ascii="Arial" w:eastAsia="等线" w:hAnsi="Arial" w:cs="Arial"/>
          <w:sz w:val="22"/>
        </w:rPr>
        <w:t>场地总绿化面积（</w:t>
      </w:r>
      <w:r>
        <w:rPr>
          <w:rFonts w:ascii="Arial" w:eastAsia="等线" w:hAnsi="Arial" w:cs="Arial"/>
          <w:sz w:val="22"/>
        </w:rPr>
        <w:t>m²</w:t>
      </w:r>
      <w:r>
        <w:rPr>
          <w:rFonts w:ascii="Arial" w:eastAsia="等线" w:hAnsi="Arial" w:cs="Arial"/>
          <w:sz w:val="22"/>
        </w:rPr>
        <w:t>）。</w:t>
      </w:r>
    </w:p>
    <w:p w14:paraId="350E4738" w14:textId="0D5924FE" w:rsidR="00EF34F4" w:rsidRDefault="001B75D8">
      <w:pPr>
        <w:spacing w:before="120" w:after="120" w:line="288" w:lineRule="auto"/>
        <w:jc w:val="left"/>
      </w:pPr>
      <w:r>
        <w:rPr>
          <w:rFonts w:ascii="Arial" w:eastAsia="等线" w:hAnsi="Arial" w:cs="Arial"/>
          <w:sz w:val="22"/>
        </w:rPr>
        <w:t>3.</w:t>
      </w:r>
      <w:r>
        <w:rPr>
          <w:rFonts w:ascii="Arial" w:eastAsia="等线" w:hAnsi="Arial" w:cs="Arial"/>
          <w:sz w:val="22"/>
        </w:rPr>
        <w:t>代入参数计算：</w:t>
      </w:r>
    </w:p>
    <w:p w14:paraId="7FCEFE64" w14:textId="77777777" w:rsidR="00EF34F4" w:rsidRDefault="001B75D8">
      <w:pPr>
        <w:spacing w:before="120" w:after="120" w:line="288" w:lineRule="auto"/>
        <w:jc w:val="left"/>
      </w:pPr>
      <m:oMathPara>
        <m:oMath>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XX</m:t>
              </m:r>
              <m:r>
                <w:rPr>
                  <w:rFonts w:ascii="Cambria Math" w:hAnsi="Cambria Math"/>
                </w:rPr>
                <m:t>+</m:t>
              </m:r>
              <m:r>
                <w:rPr>
                  <w:rFonts w:ascii="Cambria Math" w:hAnsi="Cambria Math"/>
                </w:rPr>
                <m:t>XX</m:t>
              </m:r>
            </m:num>
            <m:den>
              <m:r>
                <w:rPr>
                  <w:rFonts w:ascii="Cambria Math" w:hAnsi="Cambria Math"/>
                </w:rPr>
                <m:t>XX</m:t>
              </m:r>
            </m:den>
          </m:f>
          <m:r>
            <w:rPr>
              <w:rFonts w:ascii="Cambria Math" w:hAnsi="Cambria Math"/>
            </w:rPr>
            <m:t>×100%=</m:t>
          </m:r>
          <m:r>
            <w:rPr>
              <w:rFonts w:ascii="Cambria Math" w:hAnsi="Cambria Math"/>
            </w:rPr>
            <m:t>XX</m:t>
          </m:r>
          <m:r>
            <w:rPr>
              <w:rFonts w:ascii="Cambria Math" w:hAnsi="Cambria Math"/>
            </w:rPr>
            <m:t>%</m:t>
          </m:r>
        </m:oMath>
      </m:oMathPara>
    </w:p>
    <w:p w14:paraId="4302345E" w14:textId="2AC7A1D0" w:rsidR="00EF34F4" w:rsidRDefault="001B75D8">
      <w:pPr>
        <w:spacing w:before="120" w:after="120" w:line="288" w:lineRule="auto"/>
        <w:jc w:val="left"/>
      </w:pPr>
      <w:r>
        <w:rPr>
          <w:rFonts w:ascii="Arial" w:eastAsia="等线" w:hAnsi="Arial" w:cs="Arial"/>
          <w:sz w:val="22"/>
        </w:rPr>
        <w:t>4</w:t>
      </w:r>
      <w:r>
        <w:rPr>
          <w:rFonts w:ascii="Arial" w:eastAsia="等线" w:hAnsi="Arial" w:cs="Arial"/>
          <w:sz w:val="22"/>
        </w:rPr>
        <w:t>.</w:t>
      </w:r>
      <w:r>
        <w:rPr>
          <w:rFonts w:ascii="Arial" w:eastAsia="等线" w:hAnsi="Arial" w:cs="Arial"/>
          <w:sz w:val="22"/>
        </w:rPr>
        <w:t>评分结果：</w:t>
      </w:r>
    </w:p>
    <w:p w14:paraId="469FE5AC" w14:textId="77777777" w:rsidR="00EF34F4" w:rsidRDefault="001B75D8">
      <w:pPr>
        <w:spacing w:before="120" w:after="120" w:line="288" w:lineRule="auto"/>
        <w:jc w:val="left"/>
      </w:pPr>
      <w:r>
        <w:rPr>
          <w:rFonts w:ascii="Arial" w:eastAsia="等线" w:hAnsi="Arial" w:cs="Arial"/>
          <w:sz w:val="22"/>
        </w:rPr>
        <w:t>若</w:t>
      </w:r>
      <m:oMath>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≥60%</m:t>
        </m:r>
      </m:oMath>
      <w:r>
        <w:rPr>
          <w:rFonts w:ascii="Arial" w:eastAsia="等线" w:hAnsi="Arial" w:cs="Arial"/>
          <w:sz w:val="22"/>
        </w:rPr>
        <w:t>，符合最高评分标准，得</w:t>
      </w:r>
      <w:r>
        <w:rPr>
          <w:rFonts w:ascii="Arial" w:eastAsia="等线" w:hAnsi="Arial" w:cs="Arial"/>
          <w:sz w:val="22"/>
        </w:rPr>
        <w:t>5</w:t>
      </w:r>
      <w:r>
        <w:rPr>
          <w:rFonts w:ascii="Arial" w:eastAsia="等线" w:hAnsi="Arial" w:cs="Arial"/>
          <w:sz w:val="22"/>
        </w:rPr>
        <w:t>分；</w:t>
      </w:r>
    </w:p>
    <w:p w14:paraId="7F3AC40F" w14:textId="670797E3" w:rsidR="00EF34F4" w:rsidRDefault="001B75D8">
      <w:pPr>
        <w:spacing w:before="120" w:after="120" w:line="288" w:lineRule="auto"/>
        <w:jc w:val="left"/>
      </w:pPr>
      <w:r>
        <w:rPr>
          <w:rFonts w:ascii="Arial" w:eastAsia="等线" w:hAnsi="Arial" w:cs="Arial"/>
          <w:sz w:val="22"/>
        </w:rPr>
        <w:t>若</w:t>
      </w:r>
      <w:r>
        <w:rPr>
          <w:rFonts w:ascii="Arial" w:eastAsia="等线" w:hAnsi="Arial" w:cs="Arial"/>
          <w:sz w:val="22"/>
        </w:rPr>
        <w:t>40%</w:t>
      </w:r>
      <w:r>
        <w:rPr>
          <w:rFonts w:ascii="Arial" w:eastAsia="等线" w:hAnsi="Arial" w:cs="Arial"/>
          <w:sz w:val="22"/>
        </w:rPr>
        <w:t>≤</w:t>
      </w:r>
      <m:oMath>
        <m:sSub>
          <m:sSubPr>
            <m:ctrlPr>
              <w:rPr>
                <w:rFonts w:ascii="Cambria Math" w:hAnsi="Cambria Math"/>
              </w:rPr>
            </m:ctrlPr>
          </m:sSubPr>
          <m:e>
            <m:r>
              <w:rPr>
                <w:rFonts w:ascii="Cambria Math" w:hAnsi="Cambria Math"/>
              </w:rPr>
              <m:t>γ</m:t>
            </m:r>
          </m:e>
          <m:sub>
            <m:r>
              <w:rPr>
                <w:rFonts w:ascii="Cambria Math" w:hAnsi="Cambria Math"/>
              </w:rPr>
              <m:t>1</m:t>
            </m:r>
          </m:sub>
        </m:sSub>
      </m:oMath>
      <w:r>
        <w:rPr>
          <w:rFonts w:ascii="Arial" w:eastAsia="等线" w:hAnsi="Arial" w:cs="Arial"/>
          <w:sz w:val="22"/>
        </w:rPr>
        <w:t>＜</w:t>
      </w:r>
      <w:r>
        <w:rPr>
          <w:rFonts w:ascii="Arial" w:eastAsia="等线" w:hAnsi="Arial" w:cs="Arial"/>
          <w:sz w:val="22"/>
        </w:rPr>
        <w:t>60%</w:t>
      </w:r>
      <w:r>
        <w:rPr>
          <w:rFonts w:ascii="Arial" w:eastAsia="等线" w:hAnsi="Arial" w:cs="Arial"/>
          <w:sz w:val="22"/>
        </w:rPr>
        <w:t>，符合基础评分标准，得</w:t>
      </w:r>
      <w:r>
        <w:rPr>
          <w:rFonts w:ascii="Arial" w:eastAsia="等线" w:hAnsi="Arial" w:cs="Arial"/>
          <w:sz w:val="22"/>
        </w:rPr>
        <w:t>3</w:t>
      </w:r>
      <w:r>
        <w:rPr>
          <w:rFonts w:ascii="Arial" w:eastAsia="等线" w:hAnsi="Arial" w:cs="Arial"/>
          <w:sz w:val="22"/>
        </w:rPr>
        <w:t>分；</w:t>
      </w:r>
    </w:p>
    <w:p w14:paraId="0C8065B8" w14:textId="77777777" w:rsidR="00EF34F4" w:rsidRDefault="001B75D8">
      <w:pPr>
        <w:spacing w:before="120" w:after="120" w:line="288" w:lineRule="auto"/>
        <w:jc w:val="left"/>
      </w:pPr>
      <w:r>
        <w:rPr>
          <w:rFonts w:ascii="Arial" w:eastAsia="等线" w:hAnsi="Arial" w:cs="Arial"/>
          <w:sz w:val="22"/>
        </w:rPr>
        <w:t>若</w:t>
      </w:r>
      <m:oMath>
        <m:sSub>
          <m:sSubPr>
            <m:ctrlPr>
              <w:rPr>
                <w:rFonts w:ascii="Cambria Math" w:hAnsi="Cambria Math"/>
              </w:rPr>
            </m:ctrlPr>
          </m:sSubPr>
          <m:e>
            <m:r>
              <w:rPr>
                <w:rFonts w:ascii="Cambria Math" w:hAnsi="Cambria Math"/>
              </w:rPr>
              <m:t>γ</m:t>
            </m:r>
          </m:e>
          <m:sub>
            <m:r>
              <w:rPr>
                <w:rFonts w:ascii="Cambria Math" w:hAnsi="Cambria Math"/>
              </w:rPr>
              <m:t>1</m:t>
            </m:r>
          </m:sub>
        </m:sSub>
        <m:r>
          <w:rPr>
            <w:rFonts w:ascii="Cambria Math" w:hAnsi="Cambria Math"/>
          </w:rPr>
          <m:t>＜</m:t>
        </m:r>
        <m:r>
          <w:rPr>
            <w:rFonts w:ascii="Cambria Math" w:hAnsi="Cambria Math"/>
          </w:rPr>
          <m:t>40%</m:t>
        </m:r>
      </m:oMath>
      <w:r>
        <w:rPr>
          <w:rFonts w:ascii="Arial" w:eastAsia="等线" w:hAnsi="Arial" w:cs="Arial"/>
          <w:sz w:val="22"/>
        </w:rPr>
        <w:t>，未达到评分标准，得</w:t>
      </w:r>
      <w:r>
        <w:rPr>
          <w:rFonts w:ascii="Arial" w:eastAsia="等线" w:hAnsi="Arial" w:cs="Arial"/>
          <w:sz w:val="22"/>
        </w:rPr>
        <w:t>0</w:t>
      </w:r>
      <w:r>
        <w:rPr>
          <w:rFonts w:ascii="Arial" w:eastAsia="等线" w:hAnsi="Arial" w:cs="Arial"/>
          <w:sz w:val="22"/>
        </w:rPr>
        <w:t>分。</w:t>
      </w:r>
    </w:p>
    <w:p w14:paraId="34CAF778" w14:textId="77777777" w:rsidR="00EF34F4" w:rsidRDefault="001B75D8">
      <w:pPr>
        <w:spacing w:before="120" w:after="120" w:line="288" w:lineRule="auto"/>
        <w:jc w:val="left"/>
      </w:pPr>
      <w:r>
        <w:rPr>
          <w:rFonts w:ascii="Arial" w:eastAsia="等线" w:hAnsi="Arial" w:cs="Arial"/>
          <w:sz w:val="22"/>
        </w:rPr>
        <w:t>本次核算得分：</w:t>
      </w:r>
      <w:r>
        <w:rPr>
          <w:rFonts w:ascii="Arial" w:eastAsia="等线" w:hAnsi="Arial" w:cs="Arial"/>
          <w:sz w:val="22"/>
        </w:rPr>
        <w:t>XX</w:t>
      </w:r>
      <w:r>
        <w:rPr>
          <w:rFonts w:ascii="Arial" w:eastAsia="等线" w:hAnsi="Arial" w:cs="Arial"/>
          <w:sz w:val="22"/>
        </w:rPr>
        <w:t>分（对应上述计算结果）。</w:t>
      </w:r>
    </w:p>
    <w:p w14:paraId="69849633" w14:textId="77777777" w:rsidR="00EF34F4" w:rsidRDefault="001B75D8">
      <w:pPr>
        <w:spacing w:before="300" w:after="120" w:line="288" w:lineRule="auto"/>
        <w:jc w:val="left"/>
        <w:outlineLvl w:val="2"/>
      </w:pPr>
      <w:bookmarkStart w:id="7" w:name="heading_7"/>
      <w:r>
        <w:rPr>
          <w:rFonts w:ascii="Arial" w:eastAsia="等线" w:hAnsi="Arial" w:cs="Arial"/>
          <w:b/>
          <w:sz w:val="30"/>
        </w:rPr>
        <w:t>（二）评分项</w:t>
      </w:r>
      <w:r>
        <w:rPr>
          <w:rFonts w:ascii="Arial" w:eastAsia="等线" w:hAnsi="Arial" w:cs="Arial"/>
          <w:b/>
          <w:sz w:val="30"/>
        </w:rPr>
        <w:t>2</w:t>
      </w:r>
      <w:r>
        <w:rPr>
          <w:rFonts w:ascii="Arial" w:eastAsia="等线" w:hAnsi="Arial" w:cs="Arial"/>
          <w:b/>
          <w:sz w:val="30"/>
        </w:rPr>
        <w:t>：屋面雨水衔接引导比例核算及评分</w:t>
      </w:r>
      <w:bookmarkEnd w:id="7"/>
    </w:p>
    <w:p w14:paraId="1E831A0A" w14:textId="1AA8BE4F" w:rsidR="00EF34F4" w:rsidRDefault="001B75D8">
      <w:pPr>
        <w:spacing w:before="120" w:after="120" w:line="288" w:lineRule="auto"/>
        <w:jc w:val="left"/>
      </w:pPr>
      <w:r>
        <w:rPr>
          <w:rFonts w:ascii="Arial" w:eastAsia="等线" w:hAnsi="Arial" w:cs="Arial"/>
          <w:sz w:val="22"/>
        </w:rPr>
        <w:t>1.</w:t>
      </w:r>
      <w:r>
        <w:rPr>
          <w:rFonts w:ascii="Arial" w:eastAsia="等线" w:hAnsi="Arial" w:cs="Arial"/>
          <w:sz w:val="22"/>
        </w:rPr>
        <w:t>评分规则：衔接和引导不少于</w:t>
      </w:r>
      <w:r>
        <w:rPr>
          <w:rFonts w:ascii="Arial" w:eastAsia="等线" w:hAnsi="Arial" w:cs="Arial"/>
          <w:sz w:val="22"/>
        </w:rPr>
        <w:t>80%</w:t>
      </w:r>
      <w:r>
        <w:rPr>
          <w:rFonts w:ascii="Arial" w:eastAsia="等线" w:hAnsi="Arial" w:cs="Arial"/>
          <w:sz w:val="22"/>
        </w:rPr>
        <w:t>的屋面雨水进入设施，得</w:t>
      </w:r>
      <w:r>
        <w:rPr>
          <w:rFonts w:ascii="Arial" w:eastAsia="等线" w:hAnsi="Arial" w:cs="Arial"/>
          <w:sz w:val="22"/>
        </w:rPr>
        <w:t>3</w:t>
      </w:r>
      <w:r>
        <w:rPr>
          <w:rFonts w:ascii="Arial" w:eastAsia="等线" w:hAnsi="Arial" w:cs="Arial"/>
          <w:sz w:val="22"/>
        </w:rPr>
        <w:t>分。</w:t>
      </w:r>
    </w:p>
    <w:p w14:paraId="268AC09C" w14:textId="5EF1A0DA" w:rsidR="00EF34F4" w:rsidRDefault="001B75D8">
      <w:pPr>
        <w:spacing w:before="120" w:after="120" w:line="288" w:lineRule="auto"/>
        <w:jc w:val="left"/>
      </w:pPr>
      <w:r>
        <w:rPr>
          <w:rFonts w:ascii="Arial" w:eastAsia="等线" w:hAnsi="Arial" w:cs="Arial"/>
          <w:sz w:val="22"/>
        </w:rPr>
        <w:t>2.</w:t>
      </w:r>
      <w:r>
        <w:rPr>
          <w:rFonts w:ascii="Arial" w:eastAsia="等线" w:hAnsi="Arial" w:cs="Arial"/>
          <w:sz w:val="22"/>
        </w:rPr>
        <w:t>计算方法：</w:t>
      </w:r>
    </w:p>
    <w:p w14:paraId="340BE562" w14:textId="77777777" w:rsidR="00EF34F4" w:rsidRDefault="001B75D8">
      <w:pPr>
        <w:spacing w:before="120" w:after="120" w:line="288" w:lineRule="auto"/>
        <w:jc w:val="left"/>
      </w:pPr>
      <w:r>
        <w:rPr>
          <w:rFonts w:ascii="Arial" w:eastAsia="等线" w:hAnsi="Arial" w:cs="Arial"/>
          <w:sz w:val="22"/>
        </w:rPr>
        <w:t>核心公式：</w:t>
      </w:r>
      <m:oMath>
        <m:sSub>
          <m:sSubPr>
            <m:ctrlPr>
              <w:rPr>
                <w:rFonts w:ascii="Cambria Math" w:hAnsi="Cambria Math"/>
              </w:rPr>
            </m:ctrlPr>
          </m:sSubPr>
          <m:e>
            <m:r>
              <w:rPr>
                <w:rFonts w:ascii="Cambria Math" w:hAnsi="Cambria Math"/>
              </w:rPr>
              <m:t>γ</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屋面衔接</m:t>
                </m:r>
              </m:sub>
            </m:sSub>
          </m:num>
          <m:den>
            <m:sSub>
              <m:sSubPr>
                <m:ctrlPr>
                  <w:rPr>
                    <w:rFonts w:ascii="Cambria Math" w:hAnsi="Cambria Math"/>
                  </w:rPr>
                </m:ctrlPr>
              </m:sSubPr>
              <m:e>
                <m:r>
                  <w:rPr>
                    <w:rFonts w:ascii="Cambria Math" w:hAnsi="Cambria Math"/>
                  </w:rPr>
                  <m:t>S</m:t>
                </m:r>
              </m:e>
              <m:sub>
                <m:r>
                  <w:rPr>
                    <w:rFonts w:ascii="Cambria Math" w:hAnsi="Cambria Math"/>
                  </w:rPr>
                  <m:t>总屋面</m:t>
                </m:r>
              </m:sub>
            </m:sSub>
          </m:den>
        </m:f>
        <m:r>
          <w:rPr>
            <w:rFonts w:ascii="Cambria Math" w:hAnsi="Cambria Math"/>
          </w:rPr>
          <m:t>×100%</m:t>
        </m:r>
      </m:oMath>
    </w:p>
    <w:p w14:paraId="476BA9BB" w14:textId="77777777" w:rsidR="00EF34F4" w:rsidRDefault="001B75D8">
      <w:pPr>
        <w:spacing w:before="120" w:after="120" w:line="288" w:lineRule="auto"/>
        <w:jc w:val="left"/>
      </w:pPr>
      <w:r>
        <w:rPr>
          <w:rFonts w:ascii="Arial" w:eastAsia="等线" w:hAnsi="Arial" w:cs="Arial"/>
          <w:sz w:val="22"/>
        </w:rPr>
        <w:t>式中：</w:t>
      </w:r>
    </w:p>
    <w:p w14:paraId="085B4F91"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γ</m:t>
            </m:r>
          </m:e>
          <m:sub>
            <m:r>
              <w:rPr>
                <w:rFonts w:ascii="Cambria Math" w:hAnsi="Cambria Math"/>
              </w:rPr>
              <m:t>2</m:t>
            </m:r>
          </m:sub>
        </m:sSub>
      </m:oMath>
      <w:r>
        <w:rPr>
          <w:rFonts w:ascii="Arial" w:eastAsia="等线" w:hAnsi="Arial" w:cs="Arial"/>
          <w:sz w:val="22"/>
        </w:rPr>
        <w:t>——</w:t>
      </w:r>
      <w:r>
        <w:rPr>
          <w:rFonts w:ascii="Arial" w:eastAsia="等线" w:hAnsi="Arial" w:cs="Arial"/>
          <w:sz w:val="22"/>
        </w:rPr>
        <w:t>衔接引导进入设施的屋面雨水比例（</w:t>
      </w:r>
      <w:r>
        <w:rPr>
          <w:rFonts w:ascii="Arial" w:eastAsia="等线" w:hAnsi="Arial" w:cs="Arial"/>
          <w:sz w:val="22"/>
        </w:rPr>
        <w:t>%</w:t>
      </w:r>
      <w:r>
        <w:rPr>
          <w:rFonts w:ascii="Arial" w:eastAsia="等线" w:hAnsi="Arial" w:cs="Arial"/>
          <w:sz w:val="22"/>
        </w:rPr>
        <w:t>）；</w:t>
      </w:r>
    </w:p>
    <w:p w14:paraId="32081EFB"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S</m:t>
            </m:r>
          </m:e>
          <m:sub>
            <m:r>
              <w:rPr>
                <w:rFonts w:ascii="Cambria Math" w:hAnsi="Cambria Math"/>
              </w:rPr>
              <m:t>屋面衔接</m:t>
            </m:r>
          </m:sub>
        </m:sSub>
      </m:oMath>
      <w:r>
        <w:rPr>
          <w:rFonts w:ascii="Arial" w:eastAsia="等线" w:hAnsi="Arial" w:cs="Arial"/>
          <w:sz w:val="22"/>
        </w:rPr>
        <w:t>——</w:t>
      </w:r>
      <w:r>
        <w:rPr>
          <w:rFonts w:ascii="Arial" w:eastAsia="等线" w:hAnsi="Arial" w:cs="Arial"/>
          <w:sz w:val="22"/>
        </w:rPr>
        <w:t>衔接引导进入绿色雨水设施的屋面雨水对应面积（</w:t>
      </w:r>
      <w:r>
        <w:rPr>
          <w:rFonts w:ascii="Arial" w:eastAsia="等线" w:hAnsi="Arial" w:cs="Arial"/>
          <w:sz w:val="22"/>
        </w:rPr>
        <w:t>m²</w:t>
      </w:r>
      <w:r>
        <w:rPr>
          <w:rFonts w:ascii="Arial" w:eastAsia="等线" w:hAnsi="Arial" w:cs="Arial"/>
          <w:sz w:val="22"/>
        </w:rPr>
        <w:t>）；</w:t>
      </w:r>
    </w:p>
    <w:p w14:paraId="7C994A96"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S</m:t>
            </m:r>
          </m:e>
          <m:sub>
            <m:r>
              <w:rPr>
                <w:rFonts w:ascii="Cambria Math" w:hAnsi="Cambria Math"/>
              </w:rPr>
              <m:t>总屋面</m:t>
            </m:r>
          </m:sub>
        </m:sSub>
      </m:oMath>
      <w:r>
        <w:rPr>
          <w:rFonts w:ascii="Arial" w:eastAsia="等线" w:hAnsi="Arial" w:cs="Arial"/>
          <w:sz w:val="22"/>
        </w:rPr>
        <w:t>——</w:t>
      </w:r>
      <w:r>
        <w:rPr>
          <w:rFonts w:ascii="Arial" w:eastAsia="等线" w:hAnsi="Arial" w:cs="Arial"/>
          <w:sz w:val="22"/>
        </w:rPr>
        <w:t>场地总屋面面积（</w:t>
      </w:r>
      <w:r>
        <w:rPr>
          <w:rFonts w:ascii="Arial" w:eastAsia="等线" w:hAnsi="Arial" w:cs="Arial"/>
          <w:sz w:val="22"/>
        </w:rPr>
        <w:t>m²</w:t>
      </w:r>
      <w:r>
        <w:rPr>
          <w:rFonts w:ascii="Arial" w:eastAsia="等线" w:hAnsi="Arial" w:cs="Arial"/>
          <w:sz w:val="22"/>
        </w:rPr>
        <w:t>）。</w:t>
      </w:r>
    </w:p>
    <w:p w14:paraId="1FCF60AB" w14:textId="0BBEB559" w:rsidR="00EF34F4" w:rsidRDefault="001B75D8">
      <w:pPr>
        <w:spacing w:before="120" w:after="120" w:line="288" w:lineRule="auto"/>
        <w:jc w:val="left"/>
      </w:pPr>
      <w:r>
        <w:rPr>
          <w:rFonts w:ascii="Arial" w:eastAsia="等线" w:hAnsi="Arial" w:cs="Arial"/>
          <w:sz w:val="22"/>
        </w:rPr>
        <w:t>3.</w:t>
      </w:r>
      <w:r>
        <w:rPr>
          <w:rFonts w:ascii="Arial" w:eastAsia="等线" w:hAnsi="Arial" w:cs="Arial"/>
          <w:sz w:val="22"/>
        </w:rPr>
        <w:t>代入参数计算：</w:t>
      </w:r>
    </w:p>
    <w:p w14:paraId="71BC437B" w14:textId="77777777" w:rsidR="00EF34F4" w:rsidRDefault="001B75D8">
      <w:pPr>
        <w:spacing w:before="120" w:after="120" w:line="288" w:lineRule="auto"/>
        <w:jc w:val="left"/>
      </w:pPr>
      <m:oMathPara>
        <m:oMath>
          <m:sSub>
            <m:sSubPr>
              <m:ctrlPr>
                <w:rPr>
                  <w:rFonts w:ascii="Cambria Math" w:hAnsi="Cambria Math"/>
                </w:rPr>
              </m:ctrlPr>
            </m:sSubPr>
            <m:e>
              <m:r>
                <w:rPr>
                  <w:rFonts w:ascii="Cambria Math" w:hAnsi="Cambria Math"/>
                </w:rPr>
                <m:t>γ</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XX</m:t>
              </m:r>
            </m:num>
            <m:den>
              <m:r>
                <w:rPr>
                  <w:rFonts w:ascii="Cambria Math" w:hAnsi="Cambria Math"/>
                </w:rPr>
                <m:t>XX</m:t>
              </m:r>
            </m:den>
          </m:f>
          <m:r>
            <w:rPr>
              <w:rFonts w:ascii="Cambria Math" w:hAnsi="Cambria Math"/>
            </w:rPr>
            <m:t>×100%=</m:t>
          </m:r>
          <m:r>
            <w:rPr>
              <w:rFonts w:ascii="Cambria Math" w:hAnsi="Cambria Math"/>
            </w:rPr>
            <m:t>XX</m:t>
          </m:r>
          <m:r>
            <w:rPr>
              <w:rFonts w:ascii="Cambria Math" w:hAnsi="Cambria Math"/>
            </w:rPr>
            <m:t>%</m:t>
          </m:r>
        </m:oMath>
      </m:oMathPara>
    </w:p>
    <w:p w14:paraId="5E75AAD6" w14:textId="634556FC" w:rsidR="00EF34F4" w:rsidRDefault="001B75D8">
      <w:pPr>
        <w:spacing w:before="120" w:after="120" w:line="288" w:lineRule="auto"/>
        <w:jc w:val="left"/>
      </w:pPr>
      <w:r>
        <w:rPr>
          <w:rFonts w:ascii="Arial" w:eastAsia="等线" w:hAnsi="Arial" w:cs="Arial"/>
          <w:sz w:val="22"/>
        </w:rPr>
        <w:t>4.</w:t>
      </w:r>
      <w:r>
        <w:rPr>
          <w:rFonts w:ascii="Arial" w:eastAsia="等线" w:hAnsi="Arial" w:cs="Arial"/>
          <w:sz w:val="22"/>
        </w:rPr>
        <w:t>评分结果：</w:t>
      </w:r>
    </w:p>
    <w:p w14:paraId="6327B5F9" w14:textId="77777777" w:rsidR="00EF34F4" w:rsidRDefault="001B75D8">
      <w:pPr>
        <w:spacing w:before="120" w:after="120" w:line="288" w:lineRule="auto"/>
        <w:jc w:val="left"/>
      </w:pPr>
      <w:r>
        <w:rPr>
          <w:rFonts w:ascii="Arial" w:eastAsia="等线" w:hAnsi="Arial" w:cs="Arial"/>
          <w:sz w:val="22"/>
        </w:rPr>
        <w:t>若</w:t>
      </w:r>
      <m:oMath>
        <m:sSub>
          <m:sSubPr>
            <m:ctrlPr>
              <w:rPr>
                <w:rFonts w:ascii="Cambria Math" w:hAnsi="Cambria Math"/>
              </w:rPr>
            </m:ctrlPr>
          </m:sSubPr>
          <m:e>
            <m:r>
              <w:rPr>
                <w:rFonts w:ascii="Cambria Math" w:hAnsi="Cambria Math"/>
              </w:rPr>
              <m:t>γ</m:t>
            </m:r>
          </m:e>
          <m:sub>
            <m:r>
              <w:rPr>
                <w:rFonts w:ascii="Cambria Math" w:hAnsi="Cambria Math"/>
              </w:rPr>
              <m:t>2</m:t>
            </m:r>
          </m:sub>
        </m:sSub>
        <m:r>
          <w:rPr>
            <w:rFonts w:ascii="Cambria Math" w:hAnsi="Cambria Math"/>
          </w:rPr>
          <m:t>≥80%</m:t>
        </m:r>
      </m:oMath>
      <w:r>
        <w:rPr>
          <w:rFonts w:ascii="Arial" w:eastAsia="等线" w:hAnsi="Arial" w:cs="Arial"/>
          <w:sz w:val="22"/>
        </w:rPr>
        <w:t>，达到评分标准，得</w:t>
      </w:r>
      <w:r>
        <w:rPr>
          <w:rFonts w:ascii="Arial" w:eastAsia="等线" w:hAnsi="Arial" w:cs="Arial"/>
          <w:sz w:val="22"/>
        </w:rPr>
        <w:t>3</w:t>
      </w:r>
      <w:r>
        <w:rPr>
          <w:rFonts w:ascii="Arial" w:eastAsia="等线" w:hAnsi="Arial" w:cs="Arial"/>
          <w:sz w:val="22"/>
        </w:rPr>
        <w:t>分；</w:t>
      </w:r>
    </w:p>
    <w:p w14:paraId="057CF052" w14:textId="77777777" w:rsidR="00EF34F4" w:rsidRDefault="001B75D8">
      <w:pPr>
        <w:spacing w:before="120" w:after="120" w:line="288" w:lineRule="auto"/>
        <w:jc w:val="left"/>
      </w:pPr>
      <w:r>
        <w:rPr>
          <w:rFonts w:ascii="Arial" w:eastAsia="等线" w:hAnsi="Arial" w:cs="Arial"/>
          <w:sz w:val="22"/>
        </w:rPr>
        <w:t>若</w:t>
      </w:r>
      <m:oMath>
        <m:sSub>
          <m:sSubPr>
            <m:ctrlPr>
              <w:rPr>
                <w:rFonts w:ascii="Cambria Math" w:hAnsi="Cambria Math"/>
              </w:rPr>
            </m:ctrlPr>
          </m:sSubPr>
          <m:e>
            <m:r>
              <w:rPr>
                <w:rFonts w:ascii="Cambria Math" w:hAnsi="Cambria Math"/>
              </w:rPr>
              <m:t>γ</m:t>
            </m:r>
          </m:e>
          <m:sub>
            <m:r>
              <w:rPr>
                <w:rFonts w:ascii="Cambria Math" w:hAnsi="Cambria Math"/>
              </w:rPr>
              <m:t>2</m:t>
            </m:r>
          </m:sub>
        </m:sSub>
        <m:r>
          <w:rPr>
            <w:rFonts w:ascii="Cambria Math" w:hAnsi="Cambria Math"/>
          </w:rPr>
          <m:t>＜</m:t>
        </m:r>
        <m:r>
          <w:rPr>
            <w:rFonts w:ascii="Cambria Math" w:hAnsi="Cambria Math"/>
          </w:rPr>
          <m:t>80%</m:t>
        </m:r>
      </m:oMath>
      <w:r>
        <w:rPr>
          <w:rFonts w:ascii="Arial" w:eastAsia="等线" w:hAnsi="Arial" w:cs="Arial"/>
          <w:sz w:val="22"/>
        </w:rPr>
        <w:t>，未达到评分标准，得</w:t>
      </w:r>
      <w:r>
        <w:rPr>
          <w:rFonts w:ascii="Arial" w:eastAsia="等线" w:hAnsi="Arial" w:cs="Arial"/>
          <w:sz w:val="22"/>
        </w:rPr>
        <w:t>0</w:t>
      </w:r>
      <w:r>
        <w:rPr>
          <w:rFonts w:ascii="Arial" w:eastAsia="等线" w:hAnsi="Arial" w:cs="Arial"/>
          <w:sz w:val="22"/>
        </w:rPr>
        <w:t>分。</w:t>
      </w:r>
    </w:p>
    <w:p w14:paraId="251C2B9E" w14:textId="77777777" w:rsidR="00EF34F4" w:rsidRDefault="001B75D8">
      <w:pPr>
        <w:spacing w:before="120" w:after="120" w:line="288" w:lineRule="auto"/>
        <w:jc w:val="left"/>
      </w:pPr>
      <w:r>
        <w:rPr>
          <w:rFonts w:ascii="Arial" w:eastAsia="等线" w:hAnsi="Arial" w:cs="Arial"/>
          <w:sz w:val="22"/>
        </w:rPr>
        <w:t>本次核算得分：</w:t>
      </w:r>
      <w:r>
        <w:rPr>
          <w:rFonts w:ascii="Arial" w:eastAsia="等线" w:hAnsi="Arial" w:cs="Arial"/>
          <w:sz w:val="22"/>
        </w:rPr>
        <w:t>XX</w:t>
      </w:r>
      <w:r>
        <w:rPr>
          <w:rFonts w:ascii="Arial" w:eastAsia="等线" w:hAnsi="Arial" w:cs="Arial"/>
          <w:sz w:val="22"/>
        </w:rPr>
        <w:t>分（对应上述计算结果）。</w:t>
      </w:r>
    </w:p>
    <w:p w14:paraId="44C21E38" w14:textId="77777777" w:rsidR="00EF34F4" w:rsidRDefault="001B75D8">
      <w:pPr>
        <w:spacing w:before="120" w:after="120" w:line="288" w:lineRule="auto"/>
        <w:jc w:val="left"/>
      </w:pPr>
      <w:r>
        <w:rPr>
          <w:rFonts w:ascii="Arial" w:eastAsia="等线" w:hAnsi="Arial" w:cs="Arial"/>
          <w:sz w:val="22"/>
        </w:rPr>
        <w:t>补充说明：屋面雨水通过雨水立管、弃流装置衔接引导至绿色雨水基础设施，实现雨水滞蓄下渗，避免直接外排，提升雨水利用效率。</w:t>
      </w:r>
    </w:p>
    <w:p w14:paraId="660E31AB" w14:textId="77777777" w:rsidR="00EF34F4" w:rsidRDefault="001B75D8">
      <w:pPr>
        <w:spacing w:before="300" w:after="120" w:line="288" w:lineRule="auto"/>
        <w:jc w:val="left"/>
        <w:outlineLvl w:val="2"/>
      </w:pPr>
      <w:bookmarkStart w:id="8" w:name="heading_8"/>
      <w:r>
        <w:rPr>
          <w:rFonts w:ascii="Arial" w:eastAsia="等线" w:hAnsi="Arial" w:cs="Arial"/>
          <w:b/>
          <w:sz w:val="30"/>
        </w:rPr>
        <w:t>（三）评分项</w:t>
      </w:r>
      <w:r>
        <w:rPr>
          <w:rFonts w:ascii="Arial" w:eastAsia="等线" w:hAnsi="Arial" w:cs="Arial"/>
          <w:b/>
          <w:sz w:val="30"/>
        </w:rPr>
        <w:t>3</w:t>
      </w:r>
      <w:r>
        <w:rPr>
          <w:rFonts w:ascii="Arial" w:eastAsia="等线" w:hAnsi="Arial" w:cs="Arial"/>
          <w:b/>
          <w:sz w:val="30"/>
        </w:rPr>
        <w:t>：道路雨水衔接引导比例核算及评分</w:t>
      </w:r>
      <w:bookmarkEnd w:id="8"/>
    </w:p>
    <w:p w14:paraId="49945978" w14:textId="5094FEC4" w:rsidR="00EF34F4" w:rsidRDefault="001B75D8">
      <w:pPr>
        <w:spacing w:before="120" w:after="120" w:line="288" w:lineRule="auto"/>
        <w:jc w:val="left"/>
      </w:pPr>
      <w:r>
        <w:rPr>
          <w:rFonts w:ascii="Arial" w:eastAsia="等线" w:hAnsi="Arial" w:cs="Arial"/>
          <w:sz w:val="22"/>
        </w:rPr>
        <w:t>1.</w:t>
      </w:r>
      <w:r>
        <w:rPr>
          <w:rFonts w:ascii="Arial" w:eastAsia="等线" w:hAnsi="Arial" w:cs="Arial"/>
          <w:sz w:val="22"/>
        </w:rPr>
        <w:t>评分规则：衔接和引导不少于</w:t>
      </w:r>
      <w:r>
        <w:rPr>
          <w:rFonts w:ascii="Arial" w:eastAsia="等线" w:hAnsi="Arial" w:cs="Arial"/>
          <w:sz w:val="22"/>
        </w:rPr>
        <w:t>80%</w:t>
      </w:r>
      <w:r>
        <w:rPr>
          <w:rFonts w:ascii="Arial" w:eastAsia="等线" w:hAnsi="Arial" w:cs="Arial"/>
          <w:sz w:val="22"/>
        </w:rPr>
        <w:t>的道路雨水进入设施，得</w:t>
      </w:r>
      <w:r>
        <w:rPr>
          <w:rFonts w:ascii="Arial" w:eastAsia="等线" w:hAnsi="Arial" w:cs="Arial"/>
          <w:sz w:val="22"/>
        </w:rPr>
        <w:t>4</w:t>
      </w:r>
      <w:r>
        <w:rPr>
          <w:rFonts w:ascii="Arial" w:eastAsia="等线" w:hAnsi="Arial" w:cs="Arial"/>
          <w:sz w:val="22"/>
        </w:rPr>
        <w:t>分。</w:t>
      </w:r>
    </w:p>
    <w:p w14:paraId="5B391D18" w14:textId="07BAF3E0" w:rsidR="00EF34F4" w:rsidRDefault="001B75D8">
      <w:pPr>
        <w:spacing w:before="120" w:after="120" w:line="288" w:lineRule="auto"/>
        <w:jc w:val="left"/>
      </w:pPr>
      <w:r>
        <w:rPr>
          <w:rFonts w:ascii="Arial" w:eastAsia="等线" w:hAnsi="Arial" w:cs="Arial"/>
          <w:sz w:val="22"/>
        </w:rPr>
        <w:t>2.</w:t>
      </w:r>
      <w:r>
        <w:rPr>
          <w:rFonts w:ascii="Arial" w:eastAsia="等线" w:hAnsi="Arial" w:cs="Arial"/>
          <w:sz w:val="22"/>
        </w:rPr>
        <w:t>计算方法：</w:t>
      </w:r>
    </w:p>
    <w:p w14:paraId="391E0D04" w14:textId="77777777" w:rsidR="00EF34F4" w:rsidRDefault="001B75D8">
      <w:pPr>
        <w:spacing w:before="120" w:after="120" w:line="288" w:lineRule="auto"/>
        <w:jc w:val="left"/>
      </w:pPr>
      <w:r>
        <w:rPr>
          <w:rFonts w:ascii="Arial" w:eastAsia="等线" w:hAnsi="Arial" w:cs="Arial"/>
          <w:sz w:val="22"/>
        </w:rPr>
        <w:t>核心公式：</w:t>
      </w:r>
      <m:oMath>
        <m:sSub>
          <m:sSubPr>
            <m:ctrlPr>
              <w:rPr>
                <w:rFonts w:ascii="Cambria Math" w:hAnsi="Cambria Math"/>
              </w:rPr>
            </m:ctrlPr>
          </m:sSubPr>
          <m:e>
            <m:r>
              <w:rPr>
                <w:rFonts w:ascii="Cambria Math" w:hAnsi="Cambria Math"/>
              </w:rPr>
              <m:t>γ</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道路衔接</m:t>
                </m:r>
              </m:sub>
            </m:sSub>
          </m:num>
          <m:den>
            <m:sSub>
              <m:sSubPr>
                <m:ctrlPr>
                  <w:rPr>
                    <w:rFonts w:ascii="Cambria Math" w:hAnsi="Cambria Math"/>
                  </w:rPr>
                </m:ctrlPr>
              </m:sSubPr>
              <m:e>
                <m:r>
                  <w:rPr>
                    <w:rFonts w:ascii="Cambria Math" w:hAnsi="Cambria Math"/>
                  </w:rPr>
                  <m:t>S</m:t>
                </m:r>
              </m:e>
              <m:sub>
                <m:r>
                  <w:rPr>
                    <w:rFonts w:ascii="Cambria Math" w:hAnsi="Cambria Math"/>
                  </w:rPr>
                  <m:t>总道路</m:t>
                </m:r>
              </m:sub>
            </m:sSub>
          </m:den>
        </m:f>
        <m:r>
          <w:rPr>
            <w:rFonts w:ascii="Cambria Math" w:hAnsi="Cambria Math"/>
          </w:rPr>
          <m:t>×100%</m:t>
        </m:r>
      </m:oMath>
    </w:p>
    <w:p w14:paraId="50E6307D" w14:textId="77777777" w:rsidR="00EF34F4" w:rsidRDefault="001B75D8">
      <w:pPr>
        <w:spacing w:before="120" w:after="120" w:line="288" w:lineRule="auto"/>
        <w:jc w:val="left"/>
      </w:pPr>
      <w:r>
        <w:rPr>
          <w:rFonts w:ascii="Arial" w:eastAsia="等线" w:hAnsi="Arial" w:cs="Arial"/>
          <w:sz w:val="22"/>
        </w:rPr>
        <w:t>式中：</w:t>
      </w:r>
    </w:p>
    <w:p w14:paraId="29DF03AD"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γ</m:t>
            </m:r>
          </m:e>
          <m:sub>
            <m:r>
              <w:rPr>
                <w:rFonts w:ascii="Cambria Math" w:hAnsi="Cambria Math"/>
              </w:rPr>
              <m:t>3</m:t>
            </m:r>
          </m:sub>
        </m:sSub>
      </m:oMath>
      <w:r>
        <w:rPr>
          <w:rFonts w:ascii="Arial" w:eastAsia="等线" w:hAnsi="Arial" w:cs="Arial"/>
          <w:sz w:val="22"/>
        </w:rPr>
        <w:t>——</w:t>
      </w:r>
      <w:r>
        <w:rPr>
          <w:rFonts w:ascii="Arial" w:eastAsia="等线" w:hAnsi="Arial" w:cs="Arial"/>
          <w:sz w:val="22"/>
        </w:rPr>
        <w:t>衔接引导进入设施的道路雨水比例（</w:t>
      </w:r>
      <w:r>
        <w:rPr>
          <w:rFonts w:ascii="Arial" w:eastAsia="等线" w:hAnsi="Arial" w:cs="Arial"/>
          <w:sz w:val="22"/>
        </w:rPr>
        <w:t>%</w:t>
      </w:r>
      <w:r>
        <w:rPr>
          <w:rFonts w:ascii="Arial" w:eastAsia="等线" w:hAnsi="Arial" w:cs="Arial"/>
          <w:sz w:val="22"/>
        </w:rPr>
        <w:t>）；</w:t>
      </w:r>
    </w:p>
    <w:p w14:paraId="6B9CDCA3"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S</m:t>
            </m:r>
          </m:e>
          <m:sub>
            <m:r>
              <w:rPr>
                <w:rFonts w:ascii="Cambria Math" w:hAnsi="Cambria Math"/>
              </w:rPr>
              <m:t>道路衔接</m:t>
            </m:r>
          </m:sub>
        </m:sSub>
      </m:oMath>
      <w:r>
        <w:rPr>
          <w:rFonts w:ascii="Arial" w:eastAsia="等线" w:hAnsi="Arial" w:cs="Arial"/>
          <w:sz w:val="22"/>
        </w:rPr>
        <w:t>——</w:t>
      </w:r>
      <w:r>
        <w:rPr>
          <w:rFonts w:ascii="Arial" w:eastAsia="等线" w:hAnsi="Arial" w:cs="Arial"/>
          <w:sz w:val="22"/>
        </w:rPr>
        <w:t>衔接引导进入绿色雨水设施的道路雨水对应面积（</w:t>
      </w:r>
      <w:r>
        <w:rPr>
          <w:rFonts w:ascii="Arial" w:eastAsia="等线" w:hAnsi="Arial" w:cs="Arial"/>
          <w:sz w:val="22"/>
        </w:rPr>
        <w:t>m²</w:t>
      </w:r>
      <w:r>
        <w:rPr>
          <w:rFonts w:ascii="Arial" w:eastAsia="等线" w:hAnsi="Arial" w:cs="Arial"/>
          <w:sz w:val="22"/>
        </w:rPr>
        <w:t>）；</w:t>
      </w:r>
    </w:p>
    <w:p w14:paraId="7BC93C6B"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S</m:t>
            </m:r>
          </m:e>
          <m:sub>
            <m:r>
              <w:rPr>
                <w:rFonts w:ascii="Cambria Math" w:hAnsi="Cambria Math"/>
              </w:rPr>
              <m:t>总道路</m:t>
            </m:r>
          </m:sub>
        </m:sSub>
      </m:oMath>
      <w:r>
        <w:rPr>
          <w:rFonts w:ascii="Arial" w:eastAsia="等线" w:hAnsi="Arial" w:cs="Arial"/>
          <w:sz w:val="22"/>
        </w:rPr>
        <w:t>——</w:t>
      </w:r>
      <w:r>
        <w:rPr>
          <w:rFonts w:ascii="Arial" w:eastAsia="等线" w:hAnsi="Arial" w:cs="Arial"/>
          <w:sz w:val="22"/>
        </w:rPr>
        <w:t>场地总道路面积（</w:t>
      </w:r>
      <w:r>
        <w:rPr>
          <w:rFonts w:ascii="Arial" w:eastAsia="等线" w:hAnsi="Arial" w:cs="Arial"/>
          <w:sz w:val="22"/>
        </w:rPr>
        <w:t>m²</w:t>
      </w:r>
      <w:r>
        <w:rPr>
          <w:rFonts w:ascii="Arial" w:eastAsia="等线" w:hAnsi="Arial" w:cs="Arial"/>
          <w:sz w:val="22"/>
        </w:rPr>
        <w:t>）。</w:t>
      </w:r>
    </w:p>
    <w:p w14:paraId="721FC197" w14:textId="3BEB0B63" w:rsidR="00EF34F4" w:rsidRDefault="001B75D8">
      <w:pPr>
        <w:spacing w:before="120" w:after="120" w:line="288" w:lineRule="auto"/>
        <w:jc w:val="left"/>
      </w:pPr>
      <w:r>
        <w:rPr>
          <w:rFonts w:ascii="Arial" w:eastAsia="等线" w:hAnsi="Arial" w:cs="Arial"/>
          <w:sz w:val="22"/>
        </w:rPr>
        <w:t>3.</w:t>
      </w:r>
      <w:r>
        <w:rPr>
          <w:rFonts w:ascii="Arial" w:eastAsia="等线" w:hAnsi="Arial" w:cs="Arial"/>
          <w:sz w:val="22"/>
        </w:rPr>
        <w:t>代入参数计算：</w:t>
      </w:r>
    </w:p>
    <w:p w14:paraId="4752AD46" w14:textId="77777777" w:rsidR="00EF34F4" w:rsidRDefault="001B75D8">
      <w:pPr>
        <w:spacing w:before="120" w:after="120" w:line="288" w:lineRule="auto"/>
        <w:jc w:val="left"/>
      </w:pPr>
      <m:oMathPara>
        <m:oMath>
          <m:sSub>
            <m:sSubPr>
              <m:ctrlPr>
                <w:rPr>
                  <w:rFonts w:ascii="Cambria Math" w:hAnsi="Cambria Math"/>
                </w:rPr>
              </m:ctrlPr>
            </m:sSubPr>
            <m:e>
              <m:r>
                <w:rPr>
                  <w:rFonts w:ascii="Cambria Math" w:hAnsi="Cambria Math"/>
                </w:rPr>
                <m:t>γ</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rPr>
                <m:t>X</m:t>
              </m:r>
              <m:r>
                <w:rPr>
                  <w:rFonts w:ascii="Cambria Math" w:hAnsi="Cambria Math"/>
                </w:rPr>
                <m:t>X</m:t>
              </m:r>
            </m:num>
            <m:den>
              <m:r>
                <w:rPr>
                  <w:rFonts w:ascii="Cambria Math" w:hAnsi="Cambria Math"/>
                </w:rPr>
                <m:t>XX</m:t>
              </m:r>
            </m:den>
          </m:f>
          <m:r>
            <w:rPr>
              <w:rFonts w:ascii="Cambria Math" w:hAnsi="Cambria Math"/>
            </w:rPr>
            <m:t>×100%=</m:t>
          </m:r>
          <m:r>
            <w:rPr>
              <w:rFonts w:ascii="Cambria Math" w:hAnsi="Cambria Math"/>
            </w:rPr>
            <m:t>XX</m:t>
          </m:r>
          <m:r>
            <w:rPr>
              <w:rFonts w:ascii="Cambria Math" w:hAnsi="Cambria Math"/>
            </w:rPr>
            <m:t>%</m:t>
          </m:r>
        </m:oMath>
      </m:oMathPara>
    </w:p>
    <w:p w14:paraId="49CE342A" w14:textId="572CAE86" w:rsidR="00EF34F4" w:rsidRDefault="001B75D8">
      <w:pPr>
        <w:spacing w:before="120" w:after="120" w:line="288" w:lineRule="auto"/>
        <w:jc w:val="left"/>
      </w:pPr>
      <w:r>
        <w:rPr>
          <w:rFonts w:ascii="Arial" w:eastAsia="等线" w:hAnsi="Arial" w:cs="Arial"/>
          <w:sz w:val="22"/>
        </w:rPr>
        <w:t>4.</w:t>
      </w:r>
      <w:r>
        <w:rPr>
          <w:rFonts w:ascii="Arial" w:eastAsia="等线" w:hAnsi="Arial" w:cs="Arial"/>
          <w:sz w:val="22"/>
        </w:rPr>
        <w:t>评分结果：</w:t>
      </w:r>
    </w:p>
    <w:p w14:paraId="06B41204" w14:textId="77777777" w:rsidR="00EF34F4" w:rsidRDefault="001B75D8">
      <w:pPr>
        <w:spacing w:before="120" w:after="120" w:line="288" w:lineRule="auto"/>
        <w:jc w:val="left"/>
      </w:pPr>
      <w:r>
        <w:rPr>
          <w:rFonts w:ascii="Arial" w:eastAsia="等线" w:hAnsi="Arial" w:cs="Arial"/>
          <w:sz w:val="22"/>
        </w:rPr>
        <w:t>若</w:t>
      </w:r>
      <m:oMath>
        <m:sSub>
          <m:sSubPr>
            <m:ctrlPr>
              <w:rPr>
                <w:rFonts w:ascii="Cambria Math" w:hAnsi="Cambria Math"/>
              </w:rPr>
            </m:ctrlPr>
          </m:sSubPr>
          <m:e>
            <m:r>
              <w:rPr>
                <w:rFonts w:ascii="Cambria Math" w:hAnsi="Cambria Math"/>
              </w:rPr>
              <m:t>γ</m:t>
            </m:r>
          </m:e>
          <m:sub>
            <m:r>
              <w:rPr>
                <w:rFonts w:ascii="Cambria Math" w:hAnsi="Cambria Math"/>
              </w:rPr>
              <m:t>3</m:t>
            </m:r>
          </m:sub>
        </m:sSub>
        <m:r>
          <w:rPr>
            <w:rFonts w:ascii="Cambria Math" w:hAnsi="Cambria Math"/>
          </w:rPr>
          <m:t>≥80%</m:t>
        </m:r>
      </m:oMath>
      <w:r>
        <w:rPr>
          <w:rFonts w:ascii="Arial" w:eastAsia="等线" w:hAnsi="Arial" w:cs="Arial"/>
          <w:sz w:val="22"/>
        </w:rPr>
        <w:t>，达到评分标准，得</w:t>
      </w:r>
      <w:r>
        <w:rPr>
          <w:rFonts w:ascii="Arial" w:eastAsia="等线" w:hAnsi="Arial" w:cs="Arial"/>
          <w:sz w:val="22"/>
        </w:rPr>
        <w:t>4</w:t>
      </w:r>
      <w:r>
        <w:rPr>
          <w:rFonts w:ascii="Arial" w:eastAsia="等线" w:hAnsi="Arial" w:cs="Arial"/>
          <w:sz w:val="22"/>
        </w:rPr>
        <w:t>分；</w:t>
      </w:r>
    </w:p>
    <w:p w14:paraId="4523E65D" w14:textId="77777777" w:rsidR="00EF34F4" w:rsidRDefault="001B75D8">
      <w:pPr>
        <w:spacing w:before="120" w:after="120" w:line="288" w:lineRule="auto"/>
        <w:jc w:val="left"/>
      </w:pPr>
      <w:r>
        <w:rPr>
          <w:rFonts w:ascii="Arial" w:eastAsia="等线" w:hAnsi="Arial" w:cs="Arial"/>
          <w:sz w:val="22"/>
        </w:rPr>
        <w:t>若</w:t>
      </w:r>
      <m:oMath>
        <m:sSub>
          <m:sSubPr>
            <m:ctrlPr>
              <w:rPr>
                <w:rFonts w:ascii="Cambria Math" w:hAnsi="Cambria Math"/>
              </w:rPr>
            </m:ctrlPr>
          </m:sSubPr>
          <m:e>
            <m:r>
              <w:rPr>
                <w:rFonts w:ascii="Cambria Math" w:hAnsi="Cambria Math"/>
              </w:rPr>
              <m:t>γ</m:t>
            </m:r>
          </m:e>
          <m:sub>
            <m:r>
              <w:rPr>
                <w:rFonts w:ascii="Cambria Math" w:hAnsi="Cambria Math"/>
              </w:rPr>
              <m:t>3</m:t>
            </m:r>
          </m:sub>
        </m:sSub>
        <m:r>
          <w:rPr>
            <w:rFonts w:ascii="Cambria Math" w:hAnsi="Cambria Math"/>
          </w:rPr>
          <m:t>＜</m:t>
        </m:r>
        <m:r>
          <w:rPr>
            <w:rFonts w:ascii="Cambria Math" w:hAnsi="Cambria Math"/>
          </w:rPr>
          <m:t>80%</m:t>
        </m:r>
      </m:oMath>
      <w:r>
        <w:rPr>
          <w:rFonts w:ascii="Arial" w:eastAsia="等线" w:hAnsi="Arial" w:cs="Arial"/>
          <w:sz w:val="22"/>
        </w:rPr>
        <w:t>，未达到评分标准，得</w:t>
      </w:r>
      <w:r>
        <w:rPr>
          <w:rFonts w:ascii="Arial" w:eastAsia="等线" w:hAnsi="Arial" w:cs="Arial"/>
          <w:sz w:val="22"/>
        </w:rPr>
        <w:t>0</w:t>
      </w:r>
      <w:r>
        <w:rPr>
          <w:rFonts w:ascii="Arial" w:eastAsia="等线" w:hAnsi="Arial" w:cs="Arial"/>
          <w:sz w:val="22"/>
        </w:rPr>
        <w:t>分。</w:t>
      </w:r>
    </w:p>
    <w:p w14:paraId="0D495F7F" w14:textId="77777777" w:rsidR="00EF34F4" w:rsidRDefault="001B75D8">
      <w:pPr>
        <w:spacing w:before="120" w:after="120" w:line="288" w:lineRule="auto"/>
        <w:jc w:val="left"/>
      </w:pPr>
      <w:r>
        <w:rPr>
          <w:rFonts w:ascii="Arial" w:eastAsia="等线" w:hAnsi="Arial" w:cs="Arial"/>
          <w:sz w:val="22"/>
        </w:rPr>
        <w:t>本次核算得分：</w:t>
      </w:r>
      <w:r>
        <w:rPr>
          <w:rFonts w:ascii="Arial" w:eastAsia="等线" w:hAnsi="Arial" w:cs="Arial"/>
          <w:sz w:val="22"/>
        </w:rPr>
        <w:t>XX</w:t>
      </w:r>
      <w:r>
        <w:rPr>
          <w:rFonts w:ascii="Arial" w:eastAsia="等线" w:hAnsi="Arial" w:cs="Arial"/>
          <w:sz w:val="22"/>
        </w:rPr>
        <w:t>分（对应上述计算结果）。</w:t>
      </w:r>
    </w:p>
    <w:p w14:paraId="52E13937" w14:textId="77777777" w:rsidR="00EF34F4" w:rsidRDefault="001B75D8">
      <w:pPr>
        <w:spacing w:before="120" w:after="120" w:line="288" w:lineRule="auto"/>
        <w:jc w:val="left"/>
      </w:pPr>
      <w:r>
        <w:rPr>
          <w:rFonts w:ascii="Arial" w:eastAsia="等线" w:hAnsi="Arial" w:cs="Arial"/>
          <w:sz w:val="22"/>
        </w:rPr>
        <w:t>补充说明：通过设置开口路沿石、植草沟等方式，引导道路雨水流入周边绿色雨水基础设施，实现径流汇集与滞蓄下渗，减少道路雨水外排。</w:t>
      </w:r>
    </w:p>
    <w:p w14:paraId="255CE805" w14:textId="77777777" w:rsidR="00EF34F4" w:rsidRDefault="001B75D8">
      <w:pPr>
        <w:spacing w:before="300" w:after="120" w:line="288" w:lineRule="auto"/>
        <w:jc w:val="left"/>
        <w:outlineLvl w:val="2"/>
      </w:pPr>
      <w:bookmarkStart w:id="9" w:name="heading_9"/>
      <w:r>
        <w:rPr>
          <w:rFonts w:ascii="Arial" w:eastAsia="等线" w:hAnsi="Arial" w:cs="Arial"/>
          <w:b/>
          <w:sz w:val="30"/>
        </w:rPr>
        <w:t>（四）评分项</w:t>
      </w:r>
      <w:r>
        <w:rPr>
          <w:rFonts w:ascii="Arial" w:eastAsia="等线" w:hAnsi="Arial" w:cs="Arial"/>
          <w:b/>
          <w:sz w:val="30"/>
        </w:rPr>
        <w:t>4</w:t>
      </w:r>
      <w:r>
        <w:rPr>
          <w:rFonts w:ascii="Arial" w:eastAsia="等线" w:hAnsi="Arial" w:cs="Arial"/>
          <w:b/>
          <w:sz w:val="30"/>
        </w:rPr>
        <w:t>：硬质铺装透水铺装比例核算及评分</w:t>
      </w:r>
      <w:bookmarkEnd w:id="9"/>
    </w:p>
    <w:p w14:paraId="783DD703" w14:textId="1DB0290E" w:rsidR="00EF34F4" w:rsidRDefault="001B75D8">
      <w:pPr>
        <w:spacing w:before="120" w:after="120" w:line="288" w:lineRule="auto"/>
        <w:jc w:val="left"/>
      </w:pPr>
      <w:r>
        <w:rPr>
          <w:rFonts w:ascii="Arial" w:eastAsia="等线" w:hAnsi="Arial" w:cs="Arial"/>
          <w:sz w:val="22"/>
        </w:rPr>
        <w:lastRenderedPageBreak/>
        <w:t>1.</w:t>
      </w:r>
      <w:r>
        <w:rPr>
          <w:rFonts w:ascii="Arial" w:eastAsia="等线" w:hAnsi="Arial" w:cs="Arial"/>
          <w:sz w:val="22"/>
        </w:rPr>
        <w:t>评分规则：硬质铺装地面中透水铺装面积的比例达到</w:t>
      </w:r>
      <w:r>
        <w:rPr>
          <w:rFonts w:ascii="Arial" w:eastAsia="等线" w:hAnsi="Arial" w:cs="Arial"/>
          <w:sz w:val="22"/>
        </w:rPr>
        <w:t>50%</w:t>
      </w:r>
      <w:r>
        <w:rPr>
          <w:rFonts w:ascii="Arial" w:eastAsia="等线" w:hAnsi="Arial" w:cs="Arial"/>
          <w:sz w:val="22"/>
        </w:rPr>
        <w:t>，得</w:t>
      </w:r>
      <w:r>
        <w:rPr>
          <w:rFonts w:ascii="Arial" w:eastAsia="等线" w:hAnsi="Arial" w:cs="Arial"/>
          <w:sz w:val="22"/>
        </w:rPr>
        <w:t>3</w:t>
      </w:r>
      <w:r>
        <w:rPr>
          <w:rFonts w:ascii="Arial" w:eastAsia="等线" w:hAnsi="Arial" w:cs="Arial"/>
          <w:sz w:val="22"/>
        </w:rPr>
        <w:t>分。</w:t>
      </w:r>
    </w:p>
    <w:p w14:paraId="776E8E10" w14:textId="183CDD85" w:rsidR="00EF34F4" w:rsidRDefault="001B75D8">
      <w:pPr>
        <w:spacing w:before="120" w:after="120" w:line="288" w:lineRule="auto"/>
        <w:jc w:val="left"/>
      </w:pPr>
      <w:r>
        <w:rPr>
          <w:rFonts w:ascii="Arial" w:eastAsia="等线" w:hAnsi="Arial" w:cs="Arial"/>
          <w:sz w:val="22"/>
        </w:rPr>
        <w:t>2.</w:t>
      </w:r>
      <w:r>
        <w:rPr>
          <w:rFonts w:ascii="Arial" w:eastAsia="等线" w:hAnsi="Arial" w:cs="Arial"/>
          <w:sz w:val="22"/>
        </w:rPr>
        <w:t>计算方法：</w:t>
      </w:r>
    </w:p>
    <w:p w14:paraId="674D054E" w14:textId="77777777" w:rsidR="00EF34F4" w:rsidRDefault="001B75D8">
      <w:pPr>
        <w:spacing w:before="120" w:after="120" w:line="288" w:lineRule="auto"/>
        <w:jc w:val="left"/>
      </w:pPr>
      <w:r>
        <w:rPr>
          <w:rFonts w:ascii="Arial" w:eastAsia="等线" w:hAnsi="Arial" w:cs="Arial"/>
          <w:sz w:val="22"/>
        </w:rPr>
        <w:t>核心公式：</w:t>
      </w:r>
      <m:oMath>
        <m:sSub>
          <m:sSubPr>
            <m:ctrlPr>
              <w:rPr>
                <w:rFonts w:ascii="Cambria Math" w:hAnsi="Cambria Math"/>
              </w:rPr>
            </m:ctrlPr>
          </m:sSubPr>
          <m:e>
            <m:r>
              <w:rPr>
                <w:rFonts w:ascii="Cambria Math" w:hAnsi="Cambria Math"/>
              </w:rPr>
              <m:t>γ</m:t>
            </m:r>
          </m:e>
          <m:sub>
            <m:r>
              <w:rPr>
                <w:rFonts w:ascii="Cambria Math" w:hAnsi="Cambria Math"/>
              </w:rPr>
              <m:t>4</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透水铺装</m:t>
                </m:r>
              </m:sub>
            </m:sSub>
          </m:num>
          <m:den>
            <m:sSub>
              <m:sSubPr>
                <m:ctrlPr>
                  <w:rPr>
                    <w:rFonts w:ascii="Cambria Math" w:hAnsi="Cambria Math"/>
                  </w:rPr>
                </m:ctrlPr>
              </m:sSubPr>
              <m:e>
                <m:r>
                  <w:rPr>
                    <w:rFonts w:ascii="Cambria Math" w:hAnsi="Cambria Math"/>
                  </w:rPr>
                  <m:t>S</m:t>
                </m:r>
              </m:e>
              <m:sub>
                <m:r>
                  <w:rPr>
                    <w:rFonts w:ascii="Cambria Math" w:hAnsi="Cambria Math"/>
                  </w:rPr>
                  <m:t>总硬质</m:t>
                </m:r>
              </m:sub>
            </m:sSub>
          </m:den>
        </m:f>
        <m:r>
          <w:rPr>
            <w:rFonts w:ascii="Cambria Math" w:hAnsi="Cambria Math"/>
          </w:rPr>
          <m:t>×100%</m:t>
        </m:r>
      </m:oMath>
    </w:p>
    <w:p w14:paraId="10D1672B" w14:textId="77777777" w:rsidR="00EF34F4" w:rsidRDefault="001B75D8">
      <w:pPr>
        <w:spacing w:before="120" w:after="120" w:line="288" w:lineRule="auto"/>
        <w:jc w:val="left"/>
      </w:pPr>
      <w:r>
        <w:rPr>
          <w:rFonts w:ascii="Arial" w:eastAsia="等线" w:hAnsi="Arial" w:cs="Arial"/>
          <w:sz w:val="22"/>
        </w:rPr>
        <w:t>式中：</w:t>
      </w:r>
    </w:p>
    <w:p w14:paraId="4C6F8A54"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γ</m:t>
            </m:r>
          </m:e>
          <m:sub>
            <m:r>
              <w:rPr>
                <w:rFonts w:ascii="Cambria Math" w:hAnsi="Cambria Math"/>
              </w:rPr>
              <m:t>4</m:t>
            </m:r>
          </m:sub>
        </m:sSub>
      </m:oMath>
      <w:r>
        <w:rPr>
          <w:rFonts w:ascii="Arial" w:eastAsia="等线" w:hAnsi="Arial" w:cs="Arial"/>
          <w:sz w:val="22"/>
        </w:rPr>
        <w:t>——</w:t>
      </w:r>
      <w:r>
        <w:rPr>
          <w:rFonts w:ascii="Arial" w:eastAsia="等线" w:hAnsi="Arial" w:cs="Arial"/>
          <w:sz w:val="22"/>
        </w:rPr>
        <w:t>硬质铺装中透水铺装面积比例（</w:t>
      </w:r>
      <w:r>
        <w:rPr>
          <w:rFonts w:ascii="Arial" w:eastAsia="等线" w:hAnsi="Arial" w:cs="Arial"/>
          <w:sz w:val="22"/>
        </w:rPr>
        <w:t>%</w:t>
      </w:r>
      <w:r>
        <w:rPr>
          <w:rFonts w:ascii="Arial" w:eastAsia="等线" w:hAnsi="Arial" w:cs="Arial"/>
          <w:sz w:val="22"/>
        </w:rPr>
        <w:t>）；</w:t>
      </w:r>
    </w:p>
    <w:p w14:paraId="6E1A8AB6"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S</m:t>
            </m:r>
          </m:e>
          <m:sub>
            <m:r>
              <w:rPr>
                <w:rFonts w:ascii="Cambria Math" w:hAnsi="Cambria Math"/>
              </w:rPr>
              <m:t>透水铺装</m:t>
            </m:r>
          </m:sub>
        </m:sSub>
      </m:oMath>
      <w:r>
        <w:rPr>
          <w:rFonts w:ascii="Arial" w:eastAsia="等线" w:hAnsi="Arial" w:cs="Arial"/>
          <w:sz w:val="22"/>
        </w:rPr>
        <w:t>——</w:t>
      </w:r>
      <w:r>
        <w:rPr>
          <w:rFonts w:ascii="Arial" w:eastAsia="等线" w:hAnsi="Arial" w:cs="Arial"/>
          <w:sz w:val="22"/>
        </w:rPr>
        <w:t>硬质铺装中透水铺装面积（</w:t>
      </w:r>
      <w:r>
        <w:rPr>
          <w:rFonts w:ascii="Arial" w:eastAsia="等线" w:hAnsi="Arial" w:cs="Arial"/>
          <w:sz w:val="22"/>
        </w:rPr>
        <w:t>m²</w:t>
      </w:r>
      <w:r>
        <w:rPr>
          <w:rFonts w:ascii="Arial" w:eastAsia="等线" w:hAnsi="Arial" w:cs="Arial"/>
          <w:sz w:val="22"/>
        </w:rPr>
        <w:t>）；</w:t>
      </w:r>
    </w:p>
    <w:p w14:paraId="0B484BED" w14:textId="77777777" w:rsidR="00EF34F4" w:rsidRDefault="001B75D8">
      <w:pPr>
        <w:spacing w:before="120" w:after="120" w:line="288" w:lineRule="auto"/>
        <w:jc w:val="left"/>
      </w:pPr>
      <m:oMath>
        <m:sSub>
          <m:sSubPr>
            <m:ctrlPr>
              <w:rPr>
                <w:rFonts w:ascii="Cambria Math" w:hAnsi="Cambria Math"/>
              </w:rPr>
            </m:ctrlPr>
          </m:sSubPr>
          <m:e>
            <m:r>
              <w:rPr>
                <w:rFonts w:ascii="Cambria Math" w:hAnsi="Cambria Math"/>
              </w:rPr>
              <m:t>S</m:t>
            </m:r>
          </m:e>
          <m:sub>
            <m:r>
              <w:rPr>
                <w:rFonts w:ascii="Cambria Math" w:hAnsi="Cambria Math"/>
              </w:rPr>
              <m:t>总硬质</m:t>
            </m:r>
          </m:sub>
        </m:sSub>
      </m:oMath>
      <w:r>
        <w:rPr>
          <w:rFonts w:ascii="Arial" w:eastAsia="等线" w:hAnsi="Arial" w:cs="Arial"/>
          <w:sz w:val="22"/>
        </w:rPr>
        <w:t>——</w:t>
      </w:r>
      <w:r>
        <w:rPr>
          <w:rFonts w:ascii="Arial" w:eastAsia="等线" w:hAnsi="Arial" w:cs="Arial"/>
          <w:sz w:val="22"/>
        </w:rPr>
        <w:t>场地总硬质铺装面积（</w:t>
      </w:r>
      <w:r>
        <w:rPr>
          <w:rFonts w:ascii="Arial" w:eastAsia="等线" w:hAnsi="Arial" w:cs="Arial"/>
          <w:sz w:val="22"/>
        </w:rPr>
        <w:t>m²</w:t>
      </w:r>
      <w:r>
        <w:rPr>
          <w:rFonts w:ascii="Arial" w:eastAsia="等线" w:hAnsi="Arial" w:cs="Arial"/>
          <w:sz w:val="22"/>
        </w:rPr>
        <w:t>）。</w:t>
      </w:r>
    </w:p>
    <w:p w14:paraId="6F957479" w14:textId="28C43513" w:rsidR="00EF34F4" w:rsidRDefault="001B75D8">
      <w:pPr>
        <w:spacing w:before="120" w:after="120" w:line="288" w:lineRule="auto"/>
        <w:jc w:val="left"/>
      </w:pPr>
      <w:r>
        <w:rPr>
          <w:rFonts w:ascii="Arial" w:eastAsia="等线" w:hAnsi="Arial" w:cs="Arial"/>
          <w:sz w:val="22"/>
        </w:rPr>
        <w:t>3.</w:t>
      </w:r>
      <w:r>
        <w:rPr>
          <w:rFonts w:ascii="Arial" w:eastAsia="等线" w:hAnsi="Arial" w:cs="Arial"/>
          <w:sz w:val="22"/>
        </w:rPr>
        <w:t>代入参数计算：</w:t>
      </w:r>
    </w:p>
    <w:p w14:paraId="53A23AB2" w14:textId="77777777" w:rsidR="00EF34F4" w:rsidRDefault="001B75D8">
      <w:pPr>
        <w:spacing w:before="120" w:after="120" w:line="288" w:lineRule="auto"/>
        <w:jc w:val="left"/>
      </w:pPr>
      <m:oMathPara>
        <m:oMath>
          <m:sSub>
            <m:sSubPr>
              <m:ctrlPr>
                <w:rPr>
                  <w:rFonts w:ascii="Cambria Math" w:hAnsi="Cambria Math"/>
                </w:rPr>
              </m:ctrlPr>
            </m:sSubPr>
            <m:e>
              <m:r>
                <w:rPr>
                  <w:rFonts w:ascii="Cambria Math" w:hAnsi="Cambria Math"/>
                </w:rPr>
                <m:t>γ</m:t>
              </m:r>
            </m:e>
            <m:sub>
              <m:r>
                <w:rPr>
                  <w:rFonts w:ascii="Cambria Math" w:hAnsi="Cambria Math"/>
                </w:rPr>
                <m:t>4</m:t>
              </m:r>
            </m:sub>
          </m:sSub>
          <m:r>
            <w:rPr>
              <w:rFonts w:ascii="Cambria Math" w:hAnsi="Cambria Math"/>
            </w:rPr>
            <m:t>=</m:t>
          </m:r>
          <m:f>
            <m:fPr>
              <m:ctrlPr>
                <w:rPr>
                  <w:rFonts w:ascii="Cambria Math" w:hAnsi="Cambria Math"/>
                </w:rPr>
              </m:ctrlPr>
            </m:fPr>
            <m:num>
              <m:r>
                <w:rPr>
                  <w:rFonts w:ascii="Cambria Math" w:hAnsi="Cambria Math"/>
                </w:rPr>
                <m:t>XX</m:t>
              </m:r>
            </m:num>
            <m:den>
              <m:r>
                <w:rPr>
                  <w:rFonts w:ascii="Cambria Math" w:hAnsi="Cambria Math"/>
                </w:rPr>
                <m:t>XX</m:t>
              </m:r>
            </m:den>
          </m:f>
          <m:r>
            <w:rPr>
              <w:rFonts w:ascii="Cambria Math" w:hAnsi="Cambria Math"/>
            </w:rPr>
            <m:t>×100%=</m:t>
          </m:r>
          <m:r>
            <w:rPr>
              <w:rFonts w:ascii="Cambria Math" w:hAnsi="Cambria Math"/>
            </w:rPr>
            <m:t>XX</m:t>
          </m:r>
          <m:r>
            <w:rPr>
              <w:rFonts w:ascii="Cambria Math" w:hAnsi="Cambria Math"/>
            </w:rPr>
            <m:t>%</m:t>
          </m:r>
        </m:oMath>
      </m:oMathPara>
    </w:p>
    <w:p w14:paraId="11B29882" w14:textId="29023988" w:rsidR="00EF34F4" w:rsidRDefault="001B75D8">
      <w:pPr>
        <w:spacing w:before="120" w:after="120" w:line="288" w:lineRule="auto"/>
        <w:jc w:val="left"/>
      </w:pPr>
      <w:r>
        <w:rPr>
          <w:rFonts w:ascii="Arial" w:eastAsia="等线" w:hAnsi="Arial" w:cs="Arial"/>
          <w:sz w:val="22"/>
        </w:rPr>
        <w:t>4.</w:t>
      </w:r>
      <w:r>
        <w:rPr>
          <w:rFonts w:ascii="Arial" w:eastAsia="等线" w:hAnsi="Arial" w:cs="Arial"/>
          <w:sz w:val="22"/>
        </w:rPr>
        <w:t>评分结果：</w:t>
      </w:r>
    </w:p>
    <w:p w14:paraId="0B915E8A" w14:textId="77777777" w:rsidR="00EF34F4" w:rsidRDefault="001B75D8">
      <w:pPr>
        <w:spacing w:before="120" w:after="120" w:line="288" w:lineRule="auto"/>
        <w:jc w:val="left"/>
      </w:pPr>
      <w:r>
        <w:rPr>
          <w:rFonts w:ascii="Arial" w:eastAsia="等线" w:hAnsi="Arial" w:cs="Arial"/>
          <w:sz w:val="22"/>
        </w:rPr>
        <w:t>若</w:t>
      </w:r>
      <m:oMath>
        <m:sSub>
          <m:sSubPr>
            <m:ctrlPr>
              <w:rPr>
                <w:rFonts w:ascii="Cambria Math" w:hAnsi="Cambria Math"/>
              </w:rPr>
            </m:ctrlPr>
          </m:sSubPr>
          <m:e>
            <m:r>
              <w:rPr>
                <w:rFonts w:ascii="Cambria Math" w:hAnsi="Cambria Math"/>
              </w:rPr>
              <m:t>γ</m:t>
            </m:r>
          </m:e>
          <m:sub>
            <m:r>
              <w:rPr>
                <w:rFonts w:ascii="Cambria Math" w:hAnsi="Cambria Math"/>
              </w:rPr>
              <m:t>4</m:t>
            </m:r>
          </m:sub>
        </m:sSub>
        <m:r>
          <w:rPr>
            <w:rFonts w:ascii="Cambria Math" w:hAnsi="Cambria Math"/>
          </w:rPr>
          <m:t>≥50%</m:t>
        </m:r>
      </m:oMath>
      <w:r>
        <w:rPr>
          <w:rFonts w:ascii="Arial" w:eastAsia="等线" w:hAnsi="Arial" w:cs="Arial"/>
          <w:sz w:val="22"/>
        </w:rPr>
        <w:t>，达到评分标准，得</w:t>
      </w:r>
      <w:r>
        <w:rPr>
          <w:rFonts w:ascii="Arial" w:eastAsia="等线" w:hAnsi="Arial" w:cs="Arial"/>
          <w:sz w:val="22"/>
        </w:rPr>
        <w:t>3</w:t>
      </w:r>
      <w:r>
        <w:rPr>
          <w:rFonts w:ascii="Arial" w:eastAsia="等线" w:hAnsi="Arial" w:cs="Arial"/>
          <w:sz w:val="22"/>
        </w:rPr>
        <w:t>分；</w:t>
      </w:r>
    </w:p>
    <w:p w14:paraId="62E48728" w14:textId="77777777" w:rsidR="00EF34F4" w:rsidRDefault="001B75D8">
      <w:pPr>
        <w:spacing w:before="120" w:after="120" w:line="288" w:lineRule="auto"/>
        <w:jc w:val="left"/>
      </w:pPr>
      <w:r>
        <w:rPr>
          <w:rFonts w:ascii="Arial" w:eastAsia="等线" w:hAnsi="Arial" w:cs="Arial"/>
          <w:sz w:val="22"/>
        </w:rPr>
        <w:t>若</w:t>
      </w:r>
      <m:oMath>
        <m:sSub>
          <m:sSubPr>
            <m:ctrlPr>
              <w:rPr>
                <w:rFonts w:ascii="Cambria Math" w:hAnsi="Cambria Math"/>
              </w:rPr>
            </m:ctrlPr>
          </m:sSubPr>
          <m:e>
            <m:r>
              <w:rPr>
                <w:rFonts w:ascii="Cambria Math" w:hAnsi="Cambria Math"/>
              </w:rPr>
              <m:t>γ</m:t>
            </m:r>
          </m:e>
          <m:sub>
            <m:r>
              <w:rPr>
                <w:rFonts w:ascii="Cambria Math" w:hAnsi="Cambria Math"/>
              </w:rPr>
              <m:t>4</m:t>
            </m:r>
          </m:sub>
        </m:sSub>
        <m:r>
          <w:rPr>
            <w:rFonts w:ascii="Cambria Math" w:hAnsi="Cambria Math"/>
          </w:rPr>
          <m:t>＜</m:t>
        </m:r>
        <m:r>
          <w:rPr>
            <w:rFonts w:ascii="Cambria Math" w:hAnsi="Cambria Math"/>
          </w:rPr>
          <m:t>50%</m:t>
        </m:r>
      </m:oMath>
      <w:r>
        <w:rPr>
          <w:rFonts w:ascii="Arial" w:eastAsia="等线" w:hAnsi="Arial" w:cs="Arial"/>
          <w:sz w:val="22"/>
        </w:rPr>
        <w:t>，未达到评分标准，得</w:t>
      </w:r>
      <w:r>
        <w:rPr>
          <w:rFonts w:ascii="Arial" w:eastAsia="等线" w:hAnsi="Arial" w:cs="Arial"/>
          <w:sz w:val="22"/>
        </w:rPr>
        <w:t>0</w:t>
      </w:r>
      <w:r>
        <w:rPr>
          <w:rFonts w:ascii="Arial" w:eastAsia="等线" w:hAnsi="Arial" w:cs="Arial"/>
          <w:sz w:val="22"/>
        </w:rPr>
        <w:t>分。</w:t>
      </w:r>
    </w:p>
    <w:p w14:paraId="7421FE1E" w14:textId="77777777" w:rsidR="00EF34F4" w:rsidRDefault="001B75D8">
      <w:pPr>
        <w:spacing w:before="120" w:after="120" w:line="288" w:lineRule="auto"/>
        <w:jc w:val="left"/>
      </w:pPr>
      <w:r>
        <w:rPr>
          <w:rFonts w:ascii="Arial" w:eastAsia="等线" w:hAnsi="Arial" w:cs="Arial"/>
          <w:sz w:val="22"/>
        </w:rPr>
        <w:t>本次核算得分：</w:t>
      </w:r>
      <w:r>
        <w:rPr>
          <w:rFonts w:ascii="Arial" w:eastAsia="等线" w:hAnsi="Arial" w:cs="Arial"/>
          <w:sz w:val="22"/>
        </w:rPr>
        <w:t>XX</w:t>
      </w:r>
      <w:r>
        <w:rPr>
          <w:rFonts w:ascii="Arial" w:eastAsia="等线" w:hAnsi="Arial" w:cs="Arial"/>
          <w:sz w:val="22"/>
        </w:rPr>
        <w:t>分（对应上述计算结果）。</w:t>
      </w:r>
    </w:p>
    <w:p w14:paraId="571EB703" w14:textId="77777777" w:rsidR="00EF34F4" w:rsidRDefault="001B75D8">
      <w:pPr>
        <w:spacing w:before="120" w:after="120" w:line="288" w:lineRule="auto"/>
        <w:jc w:val="left"/>
      </w:pPr>
      <w:r>
        <w:rPr>
          <w:rFonts w:ascii="Arial" w:eastAsia="等线" w:hAnsi="Arial" w:cs="Arial"/>
          <w:sz w:val="22"/>
        </w:rPr>
        <w:t>补充说明：透水铺装优先应用于停车场、人行道等区域，提升地表雨水下渗能力，减少硬质铺装区域径流总量，契合海绵城市建设中可渗透地面面积比例要求</w:t>
      </w:r>
      <w:r>
        <w:rPr>
          <w:rFonts w:ascii="Arial" w:eastAsia="等线" w:hAnsi="Arial" w:cs="Arial"/>
          <w:sz w:val="22"/>
        </w:rPr>
        <w:t>[5]</w:t>
      </w:r>
      <w:r>
        <w:rPr>
          <w:rFonts w:ascii="Arial" w:eastAsia="等线" w:hAnsi="Arial" w:cs="Arial"/>
          <w:sz w:val="22"/>
        </w:rPr>
        <w:t>。</w:t>
      </w:r>
    </w:p>
    <w:p w14:paraId="505FE081" w14:textId="77777777" w:rsidR="00EF34F4" w:rsidRDefault="001B75D8">
      <w:pPr>
        <w:spacing w:before="320" w:after="120" w:line="288" w:lineRule="auto"/>
        <w:jc w:val="left"/>
        <w:outlineLvl w:val="1"/>
      </w:pPr>
      <w:bookmarkStart w:id="10" w:name="heading_10"/>
      <w:r>
        <w:rPr>
          <w:rFonts w:ascii="Arial" w:eastAsia="等线" w:hAnsi="Arial" w:cs="Arial"/>
          <w:b/>
          <w:sz w:val="32"/>
        </w:rPr>
        <w:t>四、计算结果汇总与评分总结</w:t>
      </w:r>
      <w:bookmarkEnd w:id="10"/>
    </w:p>
    <w:p w14:paraId="09349CB8" w14:textId="77777777" w:rsidR="00EF34F4" w:rsidRDefault="001B75D8">
      <w:pPr>
        <w:spacing w:before="300" w:after="120" w:line="288" w:lineRule="auto"/>
        <w:jc w:val="left"/>
        <w:outlineLvl w:val="2"/>
      </w:pPr>
      <w:bookmarkStart w:id="11" w:name="heading_11"/>
      <w:r>
        <w:rPr>
          <w:rFonts w:ascii="Arial" w:eastAsia="等线" w:hAnsi="Arial" w:cs="Arial"/>
          <w:b/>
          <w:sz w:val="30"/>
        </w:rPr>
        <w:t>（一）计算结果汇总</w:t>
      </w:r>
      <w:bookmarkEnd w:id="11"/>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760"/>
        <w:gridCol w:w="2070"/>
        <w:gridCol w:w="2070"/>
        <w:gridCol w:w="1380"/>
      </w:tblGrid>
      <w:tr w:rsidR="00EF34F4" w14:paraId="10DB2127" w14:textId="77777777">
        <w:tblPrEx>
          <w:tblCellMar>
            <w:top w:w="0" w:type="dxa"/>
            <w:bottom w:w="0" w:type="dxa"/>
          </w:tblCellMar>
        </w:tblPrEx>
        <w:tc>
          <w:tcPr>
            <w:tcW w:w="2760" w:type="dxa"/>
            <w:tcMar>
              <w:top w:w="60" w:type="dxa"/>
              <w:left w:w="120" w:type="dxa"/>
              <w:bottom w:w="30" w:type="dxa"/>
              <w:right w:w="120" w:type="dxa"/>
            </w:tcMar>
          </w:tcPr>
          <w:p w14:paraId="426CE8E1" w14:textId="77777777" w:rsidR="00EF34F4" w:rsidRDefault="001B75D8">
            <w:pPr>
              <w:spacing w:before="120" w:after="120" w:line="288" w:lineRule="auto"/>
              <w:jc w:val="left"/>
            </w:pPr>
            <w:r>
              <w:rPr>
                <w:rFonts w:ascii="Arial" w:eastAsia="等线" w:hAnsi="Arial" w:cs="Arial"/>
                <w:sz w:val="22"/>
              </w:rPr>
              <w:t>评分项</w:t>
            </w:r>
          </w:p>
        </w:tc>
        <w:tc>
          <w:tcPr>
            <w:tcW w:w="2070" w:type="dxa"/>
            <w:tcMar>
              <w:top w:w="60" w:type="dxa"/>
              <w:left w:w="120" w:type="dxa"/>
              <w:bottom w:w="30" w:type="dxa"/>
              <w:right w:w="120" w:type="dxa"/>
            </w:tcMar>
          </w:tcPr>
          <w:p w14:paraId="672ED5C1" w14:textId="77777777" w:rsidR="00EF34F4" w:rsidRDefault="001B75D8">
            <w:pPr>
              <w:spacing w:before="120" w:after="120" w:line="288" w:lineRule="auto"/>
              <w:jc w:val="left"/>
            </w:pPr>
            <w:r>
              <w:rPr>
                <w:rFonts w:ascii="Arial" w:eastAsia="等线" w:hAnsi="Arial" w:cs="Arial"/>
                <w:sz w:val="22"/>
              </w:rPr>
              <w:t>核算比例</w:t>
            </w:r>
          </w:p>
        </w:tc>
        <w:tc>
          <w:tcPr>
            <w:tcW w:w="2070" w:type="dxa"/>
            <w:tcMar>
              <w:top w:w="60" w:type="dxa"/>
              <w:left w:w="120" w:type="dxa"/>
              <w:bottom w:w="30" w:type="dxa"/>
              <w:right w:w="120" w:type="dxa"/>
            </w:tcMar>
          </w:tcPr>
          <w:p w14:paraId="0ACB3B09" w14:textId="77777777" w:rsidR="00EF34F4" w:rsidRDefault="001B75D8">
            <w:pPr>
              <w:spacing w:before="120" w:after="120" w:line="288" w:lineRule="auto"/>
              <w:jc w:val="left"/>
            </w:pPr>
            <w:r>
              <w:rPr>
                <w:rFonts w:ascii="Arial" w:eastAsia="等线" w:hAnsi="Arial" w:cs="Arial"/>
                <w:sz w:val="22"/>
              </w:rPr>
              <w:t>评分标准</w:t>
            </w:r>
          </w:p>
        </w:tc>
        <w:tc>
          <w:tcPr>
            <w:tcW w:w="1380" w:type="dxa"/>
            <w:tcMar>
              <w:top w:w="60" w:type="dxa"/>
              <w:left w:w="120" w:type="dxa"/>
              <w:bottom w:w="30" w:type="dxa"/>
              <w:right w:w="120" w:type="dxa"/>
            </w:tcMar>
          </w:tcPr>
          <w:p w14:paraId="31A48DA8" w14:textId="77777777" w:rsidR="00EF34F4" w:rsidRDefault="001B75D8">
            <w:pPr>
              <w:spacing w:before="120" w:after="120" w:line="288" w:lineRule="auto"/>
              <w:jc w:val="left"/>
            </w:pPr>
            <w:r>
              <w:rPr>
                <w:rFonts w:ascii="Arial" w:eastAsia="等线" w:hAnsi="Arial" w:cs="Arial"/>
                <w:sz w:val="22"/>
              </w:rPr>
              <w:t>本次得分</w:t>
            </w:r>
          </w:p>
        </w:tc>
      </w:tr>
      <w:tr w:rsidR="00EF34F4" w14:paraId="1008B2D1" w14:textId="77777777">
        <w:tblPrEx>
          <w:tblCellMar>
            <w:top w:w="0" w:type="dxa"/>
            <w:bottom w:w="0" w:type="dxa"/>
          </w:tblCellMar>
        </w:tblPrEx>
        <w:tc>
          <w:tcPr>
            <w:tcW w:w="2760" w:type="dxa"/>
            <w:tcMar>
              <w:top w:w="60" w:type="dxa"/>
              <w:left w:w="120" w:type="dxa"/>
              <w:bottom w:w="30" w:type="dxa"/>
              <w:right w:w="120" w:type="dxa"/>
            </w:tcMar>
          </w:tcPr>
          <w:p w14:paraId="419394B5" w14:textId="77777777" w:rsidR="00EF34F4" w:rsidRDefault="001B75D8">
            <w:pPr>
              <w:spacing w:before="120" w:after="120" w:line="288" w:lineRule="auto"/>
              <w:jc w:val="left"/>
            </w:pPr>
            <w:r>
              <w:rPr>
                <w:rFonts w:ascii="Arial" w:eastAsia="等线" w:hAnsi="Arial" w:cs="Arial"/>
                <w:sz w:val="22"/>
              </w:rPr>
              <w:t>调蓄绿地</w:t>
            </w:r>
            <w:r>
              <w:rPr>
                <w:rFonts w:ascii="Arial" w:eastAsia="等线" w:hAnsi="Arial" w:cs="Arial"/>
                <w:sz w:val="22"/>
              </w:rPr>
              <w:t>+</w:t>
            </w:r>
            <w:r>
              <w:rPr>
                <w:rFonts w:ascii="Arial" w:eastAsia="等线" w:hAnsi="Arial" w:cs="Arial"/>
                <w:sz w:val="22"/>
              </w:rPr>
              <w:t>水体占绿化面积比例</w:t>
            </w:r>
          </w:p>
        </w:tc>
        <w:tc>
          <w:tcPr>
            <w:tcW w:w="2070" w:type="dxa"/>
            <w:tcMar>
              <w:top w:w="60" w:type="dxa"/>
              <w:left w:w="120" w:type="dxa"/>
              <w:bottom w:w="30" w:type="dxa"/>
              <w:right w:w="120" w:type="dxa"/>
            </w:tcMar>
          </w:tcPr>
          <w:p w14:paraId="55BCBECA" w14:textId="77777777" w:rsidR="00EF34F4" w:rsidRDefault="001B75D8">
            <w:pPr>
              <w:spacing w:before="120" w:after="120" w:line="288" w:lineRule="auto"/>
              <w:jc w:val="left"/>
            </w:pPr>
            <w:r>
              <w:rPr>
                <w:rFonts w:ascii="Arial" w:eastAsia="等线" w:hAnsi="Arial" w:cs="Arial"/>
                <w:sz w:val="22"/>
              </w:rPr>
              <w:t>XX%</w:t>
            </w:r>
          </w:p>
        </w:tc>
        <w:tc>
          <w:tcPr>
            <w:tcW w:w="2070" w:type="dxa"/>
            <w:tcMar>
              <w:top w:w="60" w:type="dxa"/>
              <w:left w:w="120" w:type="dxa"/>
              <w:bottom w:w="30" w:type="dxa"/>
              <w:right w:w="120" w:type="dxa"/>
            </w:tcMar>
          </w:tcPr>
          <w:p w14:paraId="44F03FD2" w14:textId="77777777" w:rsidR="00EF34F4" w:rsidRDefault="001B75D8">
            <w:pPr>
              <w:spacing w:before="120" w:after="120" w:line="288" w:lineRule="auto"/>
              <w:jc w:val="left"/>
            </w:pPr>
            <w:r>
              <w:rPr>
                <w:rFonts w:ascii="Arial" w:eastAsia="等线" w:hAnsi="Arial" w:cs="Arial"/>
                <w:sz w:val="22"/>
              </w:rPr>
              <w:t>≥60%</w:t>
            </w:r>
            <w:r>
              <w:rPr>
                <w:rFonts w:ascii="Arial" w:eastAsia="等线" w:hAnsi="Arial" w:cs="Arial"/>
                <w:sz w:val="22"/>
              </w:rPr>
              <w:t>得</w:t>
            </w:r>
            <w:r>
              <w:rPr>
                <w:rFonts w:ascii="Arial" w:eastAsia="等线" w:hAnsi="Arial" w:cs="Arial"/>
                <w:sz w:val="22"/>
              </w:rPr>
              <w:t>5</w:t>
            </w:r>
            <w:r>
              <w:rPr>
                <w:rFonts w:ascii="Arial" w:eastAsia="等线" w:hAnsi="Arial" w:cs="Arial"/>
                <w:sz w:val="22"/>
              </w:rPr>
              <w:t>分，</w:t>
            </w:r>
            <w:r>
              <w:rPr>
                <w:rFonts w:ascii="Arial" w:eastAsia="等线" w:hAnsi="Arial" w:cs="Arial"/>
                <w:sz w:val="22"/>
              </w:rPr>
              <w:t>40%-60%</w:t>
            </w:r>
            <w:r>
              <w:rPr>
                <w:rFonts w:ascii="Arial" w:eastAsia="等线" w:hAnsi="Arial" w:cs="Arial"/>
                <w:sz w:val="22"/>
              </w:rPr>
              <w:t>得</w:t>
            </w:r>
            <w:r>
              <w:rPr>
                <w:rFonts w:ascii="Arial" w:eastAsia="等线" w:hAnsi="Arial" w:cs="Arial"/>
                <w:sz w:val="22"/>
              </w:rPr>
              <w:t>3</w:t>
            </w:r>
            <w:r>
              <w:rPr>
                <w:rFonts w:ascii="Arial" w:eastAsia="等线" w:hAnsi="Arial" w:cs="Arial"/>
                <w:sz w:val="22"/>
              </w:rPr>
              <w:t>分</w:t>
            </w:r>
          </w:p>
        </w:tc>
        <w:tc>
          <w:tcPr>
            <w:tcW w:w="1380" w:type="dxa"/>
            <w:tcMar>
              <w:top w:w="60" w:type="dxa"/>
              <w:left w:w="120" w:type="dxa"/>
              <w:bottom w:w="30" w:type="dxa"/>
              <w:right w:w="120" w:type="dxa"/>
            </w:tcMar>
          </w:tcPr>
          <w:p w14:paraId="4FCD3F78" w14:textId="77777777"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分</w:t>
            </w:r>
          </w:p>
        </w:tc>
      </w:tr>
      <w:tr w:rsidR="00EF34F4" w14:paraId="715C9DC8" w14:textId="77777777">
        <w:tblPrEx>
          <w:tblCellMar>
            <w:top w:w="0" w:type="dxa"/>
            <w:bottom w:w="0" w:type="dxa"/>
          </w:tblCellMar>
        </w:tblPrEx>
        <w:tc>
          <w:tcPr>
            <w:tcW w:w="2760" w:type="dxa"/>
            <w:tcMar>
              <w:top w:w="60" w:type="dxa"/>
              <w:left w:w="120" w:type="dxa"/>
              <w:bottom w:w="30" w:type="dxa"/>
              <w:right w:w="120" w:type="dxa"/>
            </w:tcMar>
          </w:tcPr>
          <w:p w14:paraId="38C0B5B2" w14:textId="77777777" w:rsidR="00EF34F4" w:rsidRDefault="001B75D8">
            <w:pPr>
              <w:spacing w:before="120" w:after="120" w:line="288" w:lineRule="auto"/>
              <w:jc w:val="left"/>
            </w:pPr>
            <w:r>
              <w:rPr>
                <w:rFonts w:ascii="Arial" w:eastAsia="等线" w:hAnsi="Arial" w:cs="Arial"/>
                <w:sz w:val="22"/>
              </w:rPr>
              <w:t>屋面雨水衔接引导比例</w:t>
            </w:r>
          </w:p>
        </w:tc>
        <w:tc>
          <w:tcPr>
            <w:tcW w:w="2070" w:type="dxa"/>
            <w:tcMar>
              <w:top w:w="60" w:type="dxa"/>
              <w:left w:w="120" w:type="dxa"/>
              <w:bottom w:w="30" w:type="dxa"/>
              <w:right w:w="120" w:type="dxa"/>
            </w:tcMar>
          </w:tcPr>
          <w:p w14:paraId="5407493A" w14:textId="77777777" w:rsidR="00EF34F4" w:rsidRDefault="001B75D8">
            <w:pPr>
              <w:spacing w:before="120" w:after="120" w:line="288" w:lineRule="auto"/>
              <w:jc w:val="left"/>
            </w:pPr>
            <w:r>
              <w:rPr>
                <w:rFonts w:ascii="Arial" w:eastAsia="等线" w:hAnsi="Arial" w:cs="Arial"/>
                <w:sz w:val="22"/>
              </w:rPr>
              <w:t>XX%</w:t>
            </w:r>
          </w:p>
        </w:tc>
        <w:tc>
          <w:tcPr>
            <w:tcW w:w="2070" w:type="dxa"/>
            <w:tcMar>
              <w:top w:w="60" w:type="dxa"/>
              <w:left w:w="120" w:type="dxa"/>
              <w:bottom w:w="30" w:type="dxa"/>
              <w:right w:w="120" w:type="dxa"/>
            </w:tcMar>
          </w:tcPr>
          <w:p w14:paraId="36910E90" w14:textId="77777777" w:rsidR="00EF34F4" w:rsidRDefault="001B75D8">
            <w:pPr>
              <w:spacing w:before="120" w:after="120" w:line="288" w:lineRule="auto"/>
              <w:jc w:val="left"/>
            </w:pPr>
            <w:r>
              <w:rPr>
                <w:rFonts w:ascii="Arial" w:eastAsia="等线" w:hAnsi="Arial" w:cs="Arial"/>
                <w:sz w:val="22"/>
              </w:rPr>
              <w:t>≥80%</w:t>
            </w:r>
            <w:r>
              <w:rPr>
                <w:rFonts w:ascii="Arial" w:eastAsia="等线" w:hAnsi="Arial" w:cs="Arial"/>
                <w:sz w:val="22"/>
              </w:rPr>
              <w:t>得</w:t>
            </w:r>
            <w:r>
              <w:rPr>
                <w:rFonts w:ascii="Arial" w:eastAsia="等线" w:hAnsi="Arial" w:cs="Arial"/>
                <w:sz w:val="22"/>
              </w:rPr>
              <w:t>3</w:t>
            </w:r>
            <w:r>
              <w:rPr>
                <w:rFonts w:ascii="Arial" w:eastAsia="等线" w:hAnsi="Arial" w:cs="Arial"/>
                <w:sz w:val="22"/>
              </w:rPr>
              <w:t>分</w:t>
            </w:r>
          </w:p>
        </w:tc>
        <w:tc>
          <w:tcPr>
            <w:tcW w:w="1380" w:type="dxa"/>
            <w:tcMar>
              <w:top w:w="60" w:type="dxa"/>
              <w:left w:w="120" w:type="dxa"/>
              <w:bottom w:w="30" w:type="dxa"/>
              <w:right w:w="120" w:type="dxa"/>
            </w:tcMar>
          </w:tcPr>
          <w:p w14:paraId="75E871A4" w14:textId="77777777"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分</w:t>
            </w:r>
          </w:p>
        </w:tc>
      </w:tr>
      <w:tr w:rsidR="00EF34F4" w14:paraId="2012617A" w14:textId="77777777">
        <w:tblPrEx>
          <w:tblCellMar>
            <w:top w:w="0" w:type="dxa"/>
            <w:bottom w:w="0" w:type="dxa"/>
          </w:tblCellMar>
        </w:tblPrEx>
        <w:tc>
          <w:tcPr>
            <w:tcW w:w="2760" w:type="dxa"/>
            <w:tcMar>
              <w:top w:w="60" w:type="dxa"/>
              <w:left w:w="120" w:type="dxa"/>
              <w:bottom w:w="30" w:type="dxa"/>
              <w:right w:w="120" w:type="dxa"/>
            </w:tcMar>
          </w:tcPr>
          <w:p w14:paraId="091DEF94" w14:textId="77777777" w:rsidR="00EF34F4" w:rsidRDefault="001B75D8">
            <w:pPr>
              <w:spacing w:before="120" w:after="120" w:line="288" w:lineRule="auto"/>
              <w:jc w:val="left"/>
            </w:pPr>
            <w:r>
              <w:rPr>
                <w:rFonts w:ascii="Arial" w:eastAsia="等线" w:hAnsi="Arial" w:cs="Arial"/>
                <w:sz w:val="22"/>
              </w:rPr>
              <w:t>道路雨水衔接引导比例</w:t>
            </w:r>
          </w:p>
        </w:tc>
        <w:tc>
          <w:tcPr>
            <w:tcW w:w="2070" w:type="dxa"/>
            <w:tcMar>
              <w:top w:w="60" w:type="dxa"/>
              <w:left w:w="120" w:type="dxa"/>
              <w:bottom w:w="30" w:type="dxa"/>
              <w:right w:w="120" w:type="dxa"/>
            </w:tcMar>
          </w:tcPr>
          <w:p w14:paraId="5C7CC639" w14:textId="77777777" w:rsidR="00EF34F4" w:rsidRDefault="001B75D8">
            <w:pPr>
              <w:spacing w:before="120" w:after="120" w:line="288" w:lineRule="auto"/>
              <w:jc w:val="left"/>
            </w:pPr>
            <w:r>
              <w:rPr>
                <w:rFonts w:ascii="Arial" w:eastAsia="等线" w:hAnsi="Arial" w:cs="Arial"/>
                <w:sz w:val="22"/>
              </w:rPr>
              <w:t>XX%</w:t>
            </w:r>
          </w:p>
        </w:tc>
        <w:tc>
          <w:tcPr>
            <w:tcW w:w="2070" w:type="dxa"/>
            <w:tcMar>
              <w:top w:w="60" w:type="dxa"/>
              <w:left w:w="120" w:type="dxa"/>
              <w:bottom w:w="30" w:type="dxa"/>
              <w:right w:w="120" w:type="dxa"/>
            </w:tcMar>
          </w:tcPr>
          <w:p w14:paraId="39CD6128" w14:textId="77777777" w:rsidR="00EF34F4" w:rsidRDefault="001B75D8">
            <w:pPr>
              <w:spacing w:before="120" w:after="120" w:line="288" w:lineRule="auto"/>
              <w:jc w:val="left"/>
            </w:pPr>
            <w:r>
              <w:rPr>
                <w:rFonts w:ascii="Arial" w:eastAsia="等线" w:hAnsi="Arial" w:cs="Arial"/>
                <w:sz w:val="22"/>
              </w:rPr>
              <w:t>≥80%</w:t>
            </w:r>
            <w:r>
              <w:rPr>
                <w:rFonts w:ascii="Arial" w:eastAsia="等线" w:hAnsi="Arial" w:cs="Arial"/>
                <w:sz w:val="22"/>
              </w:rPr>
              <w:t>得</w:t>
            </w:r>
            <w:r>
              <w:rPr>
                <w:rFonts w:ascii="Arial" w:eastAsia="等线" w:hAnsi="Arial" w:cs="Arial"/>
                <w:sz w:val="22"/>
              </w:rPr>
              <w:t>4</w:t>
            </w:r>
            <w:r>
              <w:rPr>
                <w:rFonts w:ascii="Arial" w:eastAsia="等线" w:hAnsi="Arial" w:cs="Arial"/>
                <w:sz w:val="22"/>
              </w:rPr>
              <w:t>分</w:t>
            </w:r>
          </w:p>
        </w:tc>
        <w:tc>
          <w:tcPr>
            <w:tcW w:w="1380" w:type="dxa"/>
            <w:tcMar>
              <w:top w:w="60" w:type="dxa"/>
              <w:left w:w="120" w:type="dxa"/>
              <w:bottom w:w="30" w:type="dxa"/>
              <w:right w:w="120" w:type="dxa"/>
            </w:tcMar>
          </w:tcPr>
          <w:p w14:paraId="17151D51" w14:textId="77777777"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分</w:t>
            </w:r>
          </w:p>
        </w:tc>
      </w:tr>
      <w:tr w:rsidR="00EF34F4" w14:paraId="2FBEB2D4" w14:textId="77777777">
        <w:tblPrEx>
          <w:tblCellMar>
            <w:top w:w="0" w:type="dxa"/>
            <w:bottom w:w="0" w:type="dxa"/>
          </w:tblCellMar>
        </w:tblPrEx>
        <w:tc>
          <w:tcPr>
            <w:tcW w:w="2760" w:type="dxa"/>
            <w:tcMar>
              <w:top w:w="60" w:type="dxa"/>
              <w:left w:w="120" w:type="dxa"/>
              <w:bottom w:w="30" w:type="dxa"/>
              <w:right w:w="120" w:type="dxa"/>
            </w:tcMar>
          </w:tcPr>
          <w:p w14:paraId="7C324FDF" w14:textId="77777777" w:rsidR="00EF34F4" w:rsidRDefault="001B75D8">
            <w:pPr>
              <w:spacing w:before="120" w:after="120" w:line="288" w:lineRule="auto"/>
              <w:jc w:val="left"/>
            </w:pPr>
            <w:r>
              <w:rPr>
                <w:rFonts w:ascii="Arial" w:eastAsia="等线" w:hAnsi="Arial" w:cs="Arial"/>
                <w:sz w:val="22"/>
              </w:rPr>
              <w:t>硬质铺装透水铺装比例</w:t>
            </w:r>
          </w:p>
        </w:tc>
        <w:tc>
          <w:tcPr>
            <w:tcW w:w="2070" w:type="dxa"/>
            <w:tcMar>
              <w:top w:w="60" w:type="dxa"/>
              <w:left w:w="120" w:type="dxa"/>
              <w:bottom w:w="30" w:type="dxa"/>
              <w:right w:w="120" w:type="dxa"/>
            </w:tcMar>
          </w:tcPr>
          <w:p w14:paraId="312F13F3" w14:textId="77777777" w:rsidR="00EF34F4" w:rsidRDefault="001B75D8">
            <w:pPr>
              <w:spacing w:before="120" w:after="120" w:line="288" w:lineRule="auto"/>
              <w:jc w:val="left"/>
            </w:pPr>
            <w:r>
              <w:rPr>
                <w:rFonts w:ascii="Arial" w:eastAsia="等线" w:hAnsi="Arial" w:cs="Arial"/>
                <w:sz w:val="22"/>
              </w:rPr>
              <w:t>XX%</w:t>
            </w:r>
          </w:p>
        </w:tc>
        <w:tc>
          <w:tcPr>
            <w:tcW w:w="2070" w:type="dxa"/>
            <w:tcMar>
              <w:top w:w="60" w:type="dxa"/>
              <w:left w:w="120" w:type="dxa"/>
              <w:bottom w:w="30" w:type="dxa"/>
              <w:right w:w="120" w:type="dxa"/>
            </w:tcMar>
          </w:tcPr>
          <w:p w14:paraId="761D2784" w14:textId="77777777" w:rsidR="00EF34F4" w:rsidRDefault="001B75D8">
            <w:pPr>
              <w:spacing w:before="120" w:after="120" w:line="288" w:lineRule="auto"/>
              <w:jc w:val="left"/>
            </w:pPr>
            <w:r>
              <w:rPr>
                <w:rFonts w:ascii="Arial" w:eastAsia="等线" w:hAnsi="Arial" w:cs="Arial"/>
                <w:sz w:val="22"/>
              </w:rPr>
              <w:t>≥50%</w:t>
            </w:r>
            <w:r>
              <w:rPr>
                <w:rFonts w:ascii="Arial" w:eastAsia="等线" w:hAnsi="Arial" w:cs="Arial"/>
                <w:sz w:val="22"/>
              </w:rPr>
              <w:t>得</w:t>
            </w:r>
            <w:r>
              <w:rPr>
                <w:rFonts w:ascii="Arial" w:eastAsia="等线" w:hAnsi="Arial" w:cs="Arial"/>
                <w:sz w:val="22"/>
              </w:rPr>
              <w:t>3</w:t>
            </w:r>
            <w:r>
              <w:rPr>
                <w:rFonts w:ascii="Arial" w:eastAsia="等线" w:hAnsi="Arial" w:cs="Arial"/>
                <w:sz w:val="22"/>
              </w:rPr>
              <w:t>分</w:t>
            </w:r>
          </w:p>
        </w:tc>
        <w:tc>
          <w:tcPr>
            <w:tcW w:w="1380" w:type="dxa"/>
            <w:tcMar>
              <w:top w:w="60" w:type="dxa"/>
              <w:left w:w="120" w:type="dxa"/>
              <w:bottom w:w="30" w:type="dxa"/>
              <w:right w:w="120" w:type="dxa"/>
            </w:tcMar>
          </w:tcPr>
          <w:p w14:paraId="5781F5C7" w14:textId="77777777"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分</w:t>
            </w:r>
          </w:p>
        </w:tc>
      </w:tr>
      <w:tr w:rsidR="00EF34F4" w14:paraId="657F125F" w14:textId="77777777">
        <w:tblPrEx>
          <w:tblCellMar>
            <w:top w:w="0" w:type="dxa"/>
            <w:bottom w:w="0" w:type="dxa"/>
          </w:tblCellMar>
        </w:tblPrEx>
        <w:tc>
          <w:tcPr>
            <w:tcW w:w="2760" w:type="dxa"/>
            <w:tcMar>
              <w:top w:w="60" w:type="dxa"/>
              <w:left w:w="120" w:type="dxa"/>
              <w:bottom w:w="30" w:type="dxa"/>
              <w:right w:w="120" w:type="dxa"/>
            </w:tcMar>
          </w:tcPr>
          <w:p w14:paraId="41DF3932" w14:textId="77777777" w:rsidR="00EF34F4" w:rsidRDefault="001B75D8">
            <w:pPr>
              <w:spacing w:before="120" w:after="120" w:line="288" w:lineRule="auto"/>
              <w:jc w:val="left"/>
            </w:pPr>
            <w:r>
              <w:rPr>
                <w:rFonts w:ascii="Arial" w:eastAsia="等线" w:hAnsi="Arial" w:cs="Arial"/>
                <w:sz w:val="22"/>
              </w:rPr>
              <w:t>合计得分</w:t>
            </w:r>
          </w:p>
        </w:tc>
        <w:tc>
          <w:tcPr>
            <w:tcW w:w="2070" w:type="dxa"/>
            <w:tcMar>
              <w:top w:w="60" w:type="dxa"/>
              <w:left w:w="120" w:type="dxa"/>
              <w:bottom w:w="30" w:type="dxa"/>
              <w:right w:w="120" w:type="dxa"/>
            </w:tcMar>
          </w:tcPr>
          <w:p w14:paraId="2BA20643" w14:textId="77777777" w:rsidR="00EF34F4" w:rsidRDefault="001B75D8">
            <w:pPr>
              <w:spacing w:before="120" w:after="120" w:line="288" w:lineRule="auto"/>
              <w:jc w:val="left"/>
            </w:pPr>
            <w:r>
              <w:rPr>
                <w:rFonts w:ascii="Arial" w:eastAsia="等线" w:hAnsi="Arial" w:cs="Arial"/>
                <w:sz w:val="22"/>
              </w:rPr>
              <w:t>—</w:t>
            </w:r>
          </w:p>
        </w:tc>
        <w:tc>
          <w:tcPr>
            <w:tcW w:w="2070" w:type="dxa"/>
            <w:tcMar>
              <w:top w:w="60" w:type="dxa"/>
              <w:left w:w="120" w:type="dxa"/>
              <w:bottom w:w="30" w:type="dxa"/>
              <w:right w:w="120" w:type="dxa"/>
            </w:tcMar>
          </w:tcPr>
          <w:p w14:paraId="01D6FCAE" w14:textId="77777777" w:rsidR="00EF34F4" w:rsidRDefault="001B75D8">
            <w:pPr>
              <w:spacing w:before="120" w:after="120" w:line="288" w:lineRule="auto"/>
              <w:jc w:val="left"/>
            </w:pPr>
            <w:r>
              <w:rPr>
                <w:rFonts w:ascii="Arial" w:eastAsia="等线" w:hAnsi="Arial" w:cs="Arial"/>
                <w:sz w:val="22"/>
              </w:rPr>
              <w:t>总分</w:t>
            </w:r>
            <w:r>
              <w:rPr>
                <w:rFonts w:ascii="Arial" w:eastAsia="等线" w:hAnsi="Arial" w:cs="Arial"/>
                <w:sz w:val="22"/>
              </w:rPr>
              <w:t>15</w:t>
            </w:r>
            <w:r>
              <w:rPr>
                <w:rFonts w:ascii="Arial" w:eastAsia="等线" w:hAnsi="Arial" w:cs="Arial"/>
                <w:sz w:val="22"/>
              </w:rPr>
              <w:t>分</w:t>
            </w:r>
          </w:p>
        </w:tc>
        <w:tc>
          <w:tcPr>
            <w:tcW w:w="1380" w:type="dxa"/>
            <w:tcMar>
              <w:top w:w="60" w:type="dxa"/>
              <w:left w:w="120" w:type="dxa"/>
              <w:bottom w:w="30" w:type="dxa"/>
              <w:right w:w="120" w:type="dxa"/>
            </w:tcMar>
          </w:tcPr>
          <w:p w14:paraId="2FA84580" w14:textId="77777777" w:rsidR="00EF34F4" w:rsidRDefault="001B75D8">
            <w:pPr>
              <w:spacing w:before="120" w:after="120" w:line="288" w:lineRule="auto"/>
              <w:jc w:val="left"/>
            </w:pPr>
            <w:r>
              <w:rPr>
                <w:rFonts w:ascii="Arial" w:eastAsia="等线" w:hAnsi="Arial" w:cs="Arial"/>
                <w:sz w:val="22"/>
              </w:rPr>
              <w:t>XX</w:t>
            </w:r>
            <w:r>
              <w:rPr>
                <w:rFonts w:ascii="Arial" w:eastAsia="等线" w:hAnsi="Arial" w:cs="Arial"/>
                <w:sz w:val="22"/>
              </w:rPr>
              <w:t>分</w:t>
            </w:r>
          </w:p>
        </w:tc>
      </w:tr>
    </w:tbl>
    <w:p w14:paraId="56F0B34E" w14:textId="77777777" w:rsidR="00EF34F4" w:rsidRDefault="001B75D8">
      <w:pPr>
        <w:spacing w:before="300" w:after="120" w:line="288" w:lineRule="auto"/>
        <w:jc w:val="left"/>
        <w:outlineLvl w:val="2"/>
      </w:pPr>
      <w:bookmarkStart w:id="12" w:name="heading_12"/>
      <w:r>
        <w:rPr>
          <w:rFonts w:ascii="Arial" w:eastAsia="等线" w:hAnsi="Arial" w:cs="Arial"/>
          <w:b/>
          <w:sz w:val="30"/>
        </w:rPr>
        <w:lastRenderedPageBreak/>
        <w:t>（二）计算结果验证</w:t>
      </w:r>
      <w:bookmarkEnd w:id="12"/>
    </w:p>
    <w:p w14:paraId="6B1BADA5" w14:textId="3D6BEFDC" w:rsidR="00EF34F4" w:rsidRDefault="001B75D8">
      <w:pPr>
        <w:spacing w:before="120" w:after="120" w:line="288" w:lineRule="auto"/>
        <w:jc w:val="left"/>
      </w:pPr>
      <w:r>
        <w:rPr>
          <w:rFonts w:ascii="Arial" w:eastAsia="等线" w:hAnsi="Arial" w:cs="Arial"/>
          <w:sz w:val="22"/>
        </w:rPr>
        <w:t>1.</w:t>
      </w:r>
      <w:r>
        <w:rPr>
          <w:rFonts w:ascii="Arial" w:eastAsia="等线" w:hAnsi="Arial" w:cs="Arial"/>
          <w:sz w:val="22"/>
        </w:rPr>
        <w:t>数据准确性验证：本次计算所用的场地绿化、屋面、道路、硬质铺装及绿色雨水基础设施相关参数，均经现场核算、资料核查确认，参数真实可靠，代入公式计算过程无误，核算比例准确；</w:t>
      </w:r>
    </w:p>
    <w:p w14:paraId="1FE18BE1" w14:textId="017CA4B9" w:rsidR="00EF34F4" w:rsidRDefault="001B75D8">
      <w:pPr>
        <w:spacing w:before="120" w:after="120" w:line="288" w:lineRule="auto"/>
        <w:jc w:val="left"/>
      </w:pPr>
      <w:r>
        <w:rPr>
          <w:rFonts w:ascii="Arial" w:eastAsia="等线" w:hAnsi="Arial" w:cs="Arial"/>
          <w:sz w:val="22"/>
        </w:rPr>
        <w:t>2.</w:t>
      </w:r>
      <w:r>
        <w:rPr>
          <w:rFonts w:ascii="Arial" w:eastAsia="等线" w:hAnsi="Arial" w:cs="Arial"/>
          <w:sz w:val="22"/>
        </w:rPr>
        <w:t>评分合规性验证：各项评分严格遵循给定的评分规则，得分判定标准清晰，无遗漏、无错判，累计得分计算准确，符合评价要求；</w:t>
      </w:r>
    </w:p>
    <w:p w14:paraId="2ABFF0CF" w14:textId="05A9816C" w:rsidR="00EF34F4" w:rsidRDefault="001B75D8">
      <w:pPr>
        <w:spacing w:before="120" w:after="120" w:line="288" w:lineRule="auto"/>
        <w:jc w:val="left"/>
      </w:pPr>
      <w:r>
        <w:rPr>
          <w:rFonts w:ascii="Arial" w:eastAsia="等线" w:hAnsi="Arial" w:cs="Arial"/>
          <w:sz w:val="22"/>
        </w:rPr>
        <w:t>3.</w:t>
      </w:r>
      <w:r>
        <w:rPr>
          <w:rFonts w:ascii="Arial" w:eastAsia="等线" w:hAnsi="Arial" w:cs="Arial"/>
          <w:sz w:val="22"/>
        </w:rPr>
        <w:t>设施效能验证：核算结果与场地绿色雨水基础设施的实际布局、径流汇集能力、滞蓄下渗效能一致，能够真实反映设施的实际运行效果，符合</w:t>
      </w:r>
      <w:r>
        <w:rPr>
          <w:rFonts w:ascii="Arial" w:eastAsia="等线" w:hAnsi="Arial" w:cs="Arial"/>
          <w:sz w:val="22"/>
        </w:rPr>
        <w:t>“</w:t>
      </w:r>
      <w:r>
        <w:rPr>
          <w:rFonts w:ascii="Arial" w:eastAsia="等线" w:hAnsi="Arial" w:cs="Arial"/>
          <w:sz w:val="22"/>
        </w:rPr>
        <w:t>汇集场地径流、实现雨水滞蓄与下渗</w:t>
      </w:r>
      <w:r>
        <w:rPr>
          <w:rFonts w:ascii="Arial" w:eastAsia="等线" w:hAnsi="Arial" w:cs="Arial"/>
          <w:sz w:val="22"/>
        </w:rPr>
        <w:t>”</w:t>
      </w:r>
      <w:r>
        <w:rPr>
          <w:rFonts w:ascii="Arial" w:eastAsia="等线" w:hAnsi="Arial" w:cs="Arial"/>
          <w:sz w:val="22"/>
        </w:rPr>
        <w:t>的核心要求，契合海绵城市建设理念。</w:t>
      </w:r>
    </w:p>
    <w:p w14:paraId="20860646" w14:textId="77777777" w:rsidR="00EF34F4" w:rsidRDefault="001B75D8">
      <w:pPr>
        <w:spacing w:before="300" w:after="120" w:line="288" w:lineRule="auto"/>
        <w:jc w:val="left"/>
        <w:outlineLvl w:val="2"/>
      </w:pPr>
      <w:bookmarkStart w:id="13" w:name="heading_13"/>
      <w:r>
        <w:rPr>
          <w:rFonts w:ascii="Arial" w:eastAsia="等线" w:hAnsi="Arial" w:cs="Arial"/>
          <w:b/>
          <w:sz w:val="30"/>
        </w:rPr>
        <w:t>（三）评分总结</w:t>
      </w:r>
      <w:bookmarkEnd w:id="13"/>
    </w:p>
    <w:p w14:paraId="50AB736F" w14:textId="143C0294" w:rsidR="00EF34F4" w:rsidRDefault="001B75D8">
      <w:pPr>
        <w:spacing w:before="120" w:after="120" w:line="288" w:lineRule="auto"/>
        <w:jc w:val="left"/>
      </w:pPr>
      <w:r>
        <w:rPr>
          <w:rFonts w:ascii="Arial" w:eastAsia="等线" w:hAnsi="Arial" w:cs="Arial"/>
          <w:sz w:val="22"/>
        </w:rPr>
        <w:t>1.</w:t>
      </w:r>
      <w:r>
        <w:rPr>
          <w:rFonts w:ascii="Arial" w:eastAsia="等线" w:hAnsi="Arial" w:cs="Arial"/>
          <w:sz w:val="22"/>
        </w:rPr>
        <w:t>本次场地绿色雨水基础设施评分合计得分为</w:t>
      </w:r>
      <w:r>
        <w:rPr>
          <w:rFonts w:ascii="Arial" w:eastAsia="等线" w:hAnsi="Arial" w:cs="Arial"/>
          <w:sz w:val="22"/>
        </w:rPr>
        <w:t>XX</w:t>
      </w:r>
      <w:r>
        <w:rPr>
          <w:rFonts w:ascii="Arial" w:eastAsia="等线" w:hAnsi="Arial" w:cs="Arial"/>
          <w:sz w:val="22"/>
        </w:rPr>
        <w:t>分（总分</w:t>
      </w:r>
      <w:r>
        <w:rPr>
          <w:rFonts w:ascii="Arial" w:eastAsia="等线" w:hAnsi="Arial" w:cs="Arial"/>
          <w:sz w:val="22"/>
        </w:rPr>
        <w:t>15</w:t>
      </w:r>
      <w:r>
        <w:rPr>
          <w:rFonts w:ascii="Arial" w:eastAsia="等线" w:hAnsi="Arial" w:cs="Arial"/>
          <w:sz w:val="22"/>
        </w:rPr>
        <w:t>分），整体达到</w:t>
      </w:r>
      <w:r>
        <w:rPr>
          <w:rFonts w:ascii="Arial" w:eastAsia="等线" w:hAnsi="Arial" w:cs="Arial"/>
          <w:sz w:val="22"/>
        </w:rPr>
        <w:t>XX</w:t>
      </w:r>
      <w:r>
        <w:rPr>
          <w:rFonts w:ascii="Arial" w:eastAsia="等线" w:hAnsi="Arial" w:cs="Arial"/>
          <w:sz w:val="22"/>
        </w:rPr>
        <w:t>水平（优秀</w:t>
      </w:r>
      <w:r>
        <w:rPr>
          <w:rFonts w:ascii="Arial" w:eastAsia="等线" w:hAnsi="Arial" w:cs="Arial"/>
          <w:sz w:val="22"/>
        </w:rPr>
        <w:t>/</w:t>
      </w:r>
      <w:r>
        <w:rPr>
          <w:rFonts w:ascii="Arial" w:eastAsia="等线" w:hAnsi="Arial" w:cs="Arial"/>
          <w:sz w:val="22"/>
        </w:rPr>
        <w:t>良好</w:t>
      </w:r>
      <w:r>
        <w:rPr>
          <w:rFonts w:ascii="Arial" w:eastAsia="等线" w:hAnsi="Arial" w:cs="Arial"/>
          <w:sz w:val="22"/>
        </w:rPr>
        <w:t>/</w:t>
      </w:r>
      <w:r>
        <w:rPr>
          <w:rFonts w:ascii="Arial" w:eastAsia="等线" w:hAnsi="Arial" w:cs="Arial"/>
          <w:sz w:val="22"/>
        </w:rPr>
        <w:t>合格），其中</w:t>
      </w:r>
      <w:r>
        <w:rPr>
          <w:rFonts w:ascii="Arial" w:eastAsia="等线" w:hAnsi="Arial" w:cs="Arial"/>
          <w:sz w:val="22"/>
        </w:rPr>
        <w:t>XX</w:t>
      </w:r>
      <w:r>
        <w:rPr>
          <w:rFonts w:ascii="Arial" w:eastAsia="等线" w:hAnsi="Arial" w:cs="Arial"/>
          <w:sz w:val="22"/>
        </w:rPr>
        <w:t>项达到满分标准，</w:t>
      </w:r>
      <w:r>
        <w:rPr>
          <w:rFonts w:ascii="Arial" w:eastAsia="等线" w:hAnsi="Arial" w:cs="Arial"/>
          <w:sz w:val="22"/>
        </w:rPr>
        <w:t>XX</w:t>
      </w:r>
      <w:r>
        <w:rPr>
          <w:rFonts w:ascii="Arial" w:eastAsia="等线" w:hAnsi="Arial" w:cs="Arial"/>
          <w:sz w:val="22"/>
        </w:rPr>
        <w:t>项未达到评分标准，反映场地绿色雨水基础设施在径流汇集、滞蓄下渗方面具备一定效能；</w:t>
      </w:r>
    </w:p>
    <w:p w14:paraId="5C785884" w14:textId="56939F18" w:rsidR="00EF34F4" w:rsidRDefault="001B75D8">
      <w:pPr>
        <w:spacing w:before="120" w:after="120" w:line="288" w:lineRule="auto"/>
        <w:jc w:val="left"/>
      </w:pPr>
      <w:r>
        <w:rPr>
          <w:rFonts w:ascii="Arial" w:eastAsia="等线" w:hAnsi="Arial" w:cs="Arial"/>
          <w:sz w:val="22"/>
        </w:rPr>
        <w:t>2.</w:t>
      </w:r>
      <w:r>
        <w:rPr>
          <w:rFonts w:ascii="Arial" w:eastAsia="等线" w:hAnsi="Arial" w:cs="Arial"/>
          <w:sz w:val="22"/>
        </w:rPr>
        <w:t>未达标或未获满分的评分项，主要差距在于：（结合实际核算结果填写，如调蓄绿地面</w:t>
      </w:r>
      <w:r>
        <w:rPr>
          <w:rFonts w:ascii="Arial" w:eastAsia="等线" w:hAnsi="Arial" w:cs="Arial"/>
          <w:sz w:val="22"/>
        </w:rPr>
        <w:t>积不足、屋面雨水衔接引导比例偏低、透水铺装面积不足等）；</w:t>
      </w:r>
    </w:p>
    <w:p w14:paraId="0FE8AF13" w14:textId="7A6088F4" w:rsidR="00EF34F4" w:rsidRDefault="001B75D8">
      <w:pPr>
        <w:spacing w:before="120" w:after="120" w:line="288" w:lineRule="auto"/>
        <w:jc w:val="left"/>
      </w:pPr>
      <w:r>
        <w:rPr>
          <w:rFonts w:ascii="Arial" w:eastAsia="等线" w:hAnsi="Arial" w:cs="Arial"/>
          <w:sz w:val="22"/>
        </w:rPr>
        <w:t>3.</w:t>
      </w:r>
      <w:r>
        <w:rPr>
          <w:rFonts w:ascii="Arial" w:eastAsia="等线" w:hAnsi="Arial" w:cs="Arial"/>
          <w:sz w:val="22"/>
        </w:rPr>
        <w:t>本次计算结果科学、规范，可作为场地绿色雨水基础设施评分验收的核心依据，同时为设施优化完善、提升评分提供明确方向。</w:t>
      </w:r>
    </w:p>
    <w:p w14:paraId="6C912DB0" w14:textId="77777777" w:rsidR="00EF34F4" w:rsidRDefault="001B75D8">
      <w:pPr>
        <w:spacing w:before="320" w:after="120" w:line="288" w:lineRule="auto"/>
        <w:jc w:val="left"/>
        <w:outlineLvl w:val="1"/>
      </w:pPr>
      <w:bookmarkStart w:id="14" w:name="heading_14"/>
      <w:r>
        <w:rPr>
          <w:rFonts w:ascii="Arial" w:eastAsia="等线" w:hAnsi="Arial" w:cs="Arial"/>
          <w:b/>
          <w:sz w:val="32"/>
        </w:rPr>
        <w:t>五、优化建议（可选）</w:t>
      </w:r>
      <w:bookmarkEnd w:id="14"/>
    </w:p>
    <w:p w14:paraId="1892A536" w14:textId="77777777" w:rsidR="00EF34F4" w:rsidRDefault="001B75D8">
      <w:pPr>
        <w:spacing w:before="120" w:after="120" w:line="288" w:lineRule="auto"/>
        <w:jc w:val="left"/>
      </w:pPr>
      <w:r>
        <w:rPr>
          <w:rFonts w:ascii="Arial" w:eastAsia="等线" w:hAnsi="Arial" w:cs="Arial"/>
          <w:sz w:val="22"/>
        </w:rPr>
        <w:t>针对本次计算中未达标或未获得满分的评分项，结合场地实际情况，提出以下优化建议，以提升绿色雨水基础设施效能，提高评分：</w:t>
      </w:r>
    </w:p>
    <w:p w14:paraId="4CD8CE3A" w14:textId="25EA3472" w:rsidR="00EF34F4" w:rsidRDefault="001B75D8">
      <w:pPr>
        <w:spacing w:before="120" w:after="120" w:line="288" w:lineRule="auto"/>
        <w:jc w:val="left"/>
      </w:pPr>
      <w:r>
        <w:rPr>
          <w:rFonts w:ascii="Arial" w:eastAsia="等线" w:hAnsi="Arial" w:cs="Arial"/>
          <w:sz w:val="22"/>
        </w:rPr>
        <w:t>1.</w:t>
      </w:r>
      <w:r>
        <w:rPr>
          <w:rFonts w:ascii="Arial" w:eastAsia="等线" w:hAnsi="Arial" w:cs="Arial"/>
          <w:sz w:val="22"/>
        </w:rPr>
        <w:t>针对调蓄绿地</w:t>
      </w:r>
      <w:r>
        <w:rPr>
          <w:rFonts w:ascii="Arial" w:eastAsia="等线" w:hAnsi="Arial" w:cs="Arial"/>
          <w:sz w:val="22"/>
        </w:rPr>
        <w:t>+</w:t>
      </w:r>
      <w:r>
        <w:rPr>
          <w:rFonts w:ascii="Arial" w:eastAsia="等线" w:hAnsi="Arial" w:cs="Arial"/>
          <w:sz w:val="22"/>
        </w:rPr>
        <w:t>水体占比不足：在场地现有绿化区域内，新增下凹式绿地、雨水花园等调蓄设施，扩大调蓄绿地面积；合理利用场地闲置空间，增设小型调蓄水体，提升调蓄面积占比，力争达到</w:t>
      </w:r>
      <w:r>
        <w:rPr>
          <w:rFonts w:ascii="Arial" w:eastAsia="等线" w:hAnsi="Arial" w:cs="Arial"/>
          <w:sz w:val="22"/>
        </w:rPr>
        <w:t>60%</w:t>
      </w:r>
      <w:r>
        <w:rPr>
          <w:rFonts w:ascii="Arial" w:eastAsia="等线" w:hAnsi="Arial" w:cs="Arial"/>
          <w:sz w:val="22"/>
        </w:rPr>
        <w:t>以上以获得满分，契合海绵城市建设中下沉式绿地率要求；</w:t>
      </w:r>
    </w:p>
    <w:p w14:paraId="346C5718" w14:textId="5F301C5D" w:rsidR="00EF34F4" w:rsidRDefault="001B75D8">
      <w:pPr>
        <w:spacing w:before="120" w:after="120" w:line="288" w:lineRule="auto"/>
        <w:jc w:val="left"/>
      </w:pPr>
      <w:r>
        <w:rPr>
          <w:rFonts w:ascii="Arial" w:eastAsia="等线" w:hAnsi="Arial" w:cs="Arial"/>
          <w:sz w:val="22"/>
        </w:rPr>
        <w:t>2.</w:t>
      </w:r>
      <w:r>
        <w:rPr>
          <w:rFonts w:ascii="Arial" w:eastAsia="等线" w:hAnsi="Arial" w:cs="Arial"/>
          <w:sz w:val="22"/>
        </w:rPr>
        <w:t>针对屋面雨水衔接引导比例不足：优化屋面雨水收集系统，新增屋面雨水立管及衔接管道，将未引导的屋面雨水接入绿色雨水基础设施；检查现有衔接设施，确保无渗漏、无堵塞，提升衔接引导效率，确保比例达到</w:t>
      </w:r>
      <w:r>
        <w:rPr>
          <w:rFonts w:ascii="Arial" w:eastAsia="等线" w:hAnsi="Arial" w:cs="Arial"/>
          <w:sz w:val="22"/>
        </w:rPr>
        <w:t>80%</w:t>
      </w:r>
      <w:r>
        <w:rPr>
          <w:rFonts w:ascii="Arial" w:eastAsia="等线" w:hAnsi="Arial" w:cs="Arial"/>
          <w:sz w:val="22"/>
        </w:rPr>
        <w:t>以上以获得满分，最大化收集屋面雨水用于滞蓄下渗；</w:t>
      </w:r>
    </w:p>
    <w:p w14:paraId="3B560D42" w14:textId="135E6A58" w:rsidR="00EF34F4" w:rsidRDefault="001B75D8">
      <w:pPr>
        <w:spacing w:before="120" w:after="120" w:line="288" w:lineRule="auto"/>
        <w:jc w:val="left"/>
      </w:pPr>
      <w:r>
        <w:rPr>
          <w:rFonts w:ascii="Arial" w:eastAsia="等线" w:hAnsi="Arial" w:cs="Arial"/>
          <w:sz w:val="22"/>
        </w:rPr>
        <w:t>3.</w:t>
      </w:r>
      <w:r>
        <w:rPr>
          <w:rFonts w:ascii="Arial" w:eastAsia="等线" w:hAnsi="Arial" w:cs="Arial"/>
          <w:sz w:val="22"/>
        </w:rPr>
        <w:t>针对道路雨水衔接引导比</w:t>
      </w:r>
      <w:r>
        <w:rPr>
          <w:rFonts w:ascii="Arial" w:eastAsia="等线" w:hAnsi="Arial" w:cs="Arial"/>
          <w:sz w:val="22"/>
        </w:rPr>
        <w:t>例不足：在道路两侧增设植草沟、路沿石开口等引导设施，优化道路径流路径，引导更多道路雨水流入绿色雨水基础设施；清理道路雨水收集节点，确保道路雨水顺畅汇集，力争比例达到</w:t>
      </w:r>
      <w:r>
        <w:rPr>
          <w:rFonts w:ascii="Arial" w:eastAsia="等线" w:hAnsi="Arial" w:cs="Arial"/>
          <w:sz w:val="22"/>
        </w:rPr>
        <w:t>80%</w:t>
      </w:r>
      <w:r>
        <w:rPr>
          <w:rFonts w:ascii="Arial" w:eastAsia="等线" w:hAnsi="Arial" w:cs="Arial"/>
          <w:sz w:val="22"/>
        </w:rPr>
        <w:t>以上以获得满分；</w:t>
      </w:r>
    </w:p>
    <w:p w14:paraId="6F477923" w14:textId="4A4CFB94" w:rsidR="00EF34F4" w:rsidRDefault="001B75D8">
      <w:pPr>
        <w:spacing w:before="120" w:after="120" w:line="288" w:lineRule="auto"/>
        <w:jc w:val="left"/>
      </w:pPr>
      <w:r>
        <w:rPr>
          <w:rFonts w:ascii="Arial" w:eastAsia="等线" w:hAnsi="Arial" w:cs="Arial"/>
          <w:sz w:val="22"/>
        </w:rPr>
        <w:t>4.</w:t>
      </w:r>
      <w:r>
        <w:rPr>
          <w:rFonts w:ascii="Arial" w:eastAsia="等线" w:hAnsi="Arial" w:cs="Arial"/>
          <w:sz w:val="22"/>
        </w:rPr>
        <w:t>针对硬质铺装透水铺装比例不足：在广场、停车场等硬质铺装区域，将部分非透水</w:t>
      </w:r>
      <w:r>
        <w:rPr>
          <w:rFonts w:ascii="Arial" w:eastAsia="等线" w:hAnsi="Arial" w:cs="Arial"/>
          <w:sz w:val="22"/>
        </w:rPr>
        <w:lastRenderedPageBreak/>
        <w:t>铺装改造为透水铺装（如透水砖、嵌草砖等），扩大透水铺装面积，确保比例达到</w:t>
      </w:r>
      <w:r>
        <w:rPr>
          <w:rFonts w:ascii="Arial" w:eastAsia="等线" w:hAnsi="Arial" w:cs="Arial"/>
          <w:sz w:val="22"/>
        </w:rPr>
        <w:t>50%</w:t>
      </w:r>
      <w:r>
        <w:rPr>
          <w:rFonts w:ascii="Arial" w:eastAsia="等线" w:hAnsi="Arial" w:cs="Arial"/>
          <w:sz w:val="22"/>
        </w:rPr>
        <w:t>以上以获得满分，提升地表雨水下渗能力，契合海绵城市可渗透地面建设要求</w:t>
      </w:r>
      <w:r>
        <w:rPr>
          <w:rFonts w:ascii="Arial" w:eastAsia="等线" w:hAnsi="Arial" w:cs="Arial"/>
          <w:sz w:val="22"/>
        </w:rPr>
        <w:t>[5]</w:t>
      </w:r>
      <w:r>
        <w:rPr>
          <w:rFonts w:ascii="Arial" w:eastAsia="等线" w:hAnsi="Arial" w:cs="Arial"/>
          <w:sz w:val="22"/>
        </w:rPr>
        <w:t>；</w:t>
      </w:r>
    </w:p>
    <w:p w14:paraId="23FF1D97" w14:textId="1A03D15B" w:rsidR="00EF34F4" w:rsidRDefault="001B75D8">
      <w:pPr>
        <w:spacing w:before="120" w:after="120" w:line="288" w:lineRule="auto"/>
        <w:jc w:val="left"/>
      </w:pPr>
      <w:r>
        <w:rPr>
          <w:rFonts w:ascii="Arial" w:eastAsia="等线" w:hAnsi="Arial" w:cs="Arial"/>
          <w:sz w:val="22"/>
        </w:rPr>
        <w:t>5.</w:t>
      </w:r>
      <w:r>
        <w:rPr>
          <w:rFonts w:ascii="Arial" w:eastAsia="等线" w:hAnsi="Arial" w:cs="Arial"/>
          <w:sz w:val="22"/>
        </w:rPr>
        <w:t>定期对绿色雨水基础设施进行维护，清理设施内杂物、淤泥，检查衔接引导设施是否完好，</w:t>
      </w:r>
      <w:r>
        <w:rPr>
          <w:rFonts w:ascii="Arial" w:eastAsia="等线" w:hAnsi="Arial" w:cs="Arial"/>
          <w:sz w:val="22"/>
        </w:rPr>
        <w:t>确保设施正常运行，保障径流汇集、滞蓄下渗效能，维持评分水平。</w:t>
      </w:r>
    </w:p>
    <w:p w14:paraId="0D1EF6A9" w14:textId="77777777" w:rsidR="00EF34F4" w:rsidRDefault="001B75D8">
      <w:pPr>
        <w:spacing w:before="320" w:after="120" w:line="288" w:lineRule="auto"/>
        <w:jc w:val="left"/>
        <w:outlineLvl w:val="1"/>
      </w:pPr>
      <w:bookmarkStart w:id="15" w:name="heading_15"/>
      <w:r>
        <w:rPr>
          <w:rFonts w:ascii="Arial" w:eastAsia="等线" w:hAnsi="Arial" w:cs="Arial"/>
          <w:b/>
          <w:sz w:val="32"/>
        </w:rPr>
        <w:t>六、附件</w:t>
      </w:r>
      <w:bookmarkEnd w:id="15"/>
    </w:p>
    <w:p w14:paraId="77E96BD6" w14:textId="0A668913" w:rsidR="00EF34F4" w:rsidRDefault="001B75D8">
      <w:pPr>
        <w:spacing w:before="120" w:after="120" w:line="288" w:lineRule="auto"/>
        <w:jc w:val="left"/>
      </w:pPr>
      <w:r>
        <w:rPr>
          <w:rFonts w:ascii="Arial" w:eastAsia="等线" w:hAnsi="Arial" w:cs="Arial"/>
          <w:sz w:val="22"/>
        </w:rPr>
        <w:t>1.</w:t>
      </w:r>
      <w:r>
        <w:rPr>
          <w:rFonts w:ascii="Arial" w:eastAsia="等线" w:hAnsi="Arial" w:cs="Arial"/>
          <w:sz w:val="22"/>
        </w:rPr>
        <w:t>场地总平面规划图、绿色雨水基础设施布局图；</w:t>
      </w:r>
    </w:p>
    <w:p w14:paraId="50DAE4A8" w14:textId="526970D5" w:rsidR="00EF34F4" w:rsidRDefault="001B75D8">
      <w:pPr>
        <w:spacing w:before="120" w:after="120" w:line="288" w:lineRule="auto"/>
        <w:jc w:val="left"/>
      </w:pPr>
      <w:r>
        <w:rPr>
          <w:rFonts w:ascii="Arial" w:eastAsia="等线" w:hAnsi="Arial" w:cs="Arial"/>
          <w:sz w:val="22"/>
        </w:rPr>
        <w:t>2.</w:t>
      </w:r>
      <w:r>
        <w:rPr>
          <w:rFonts w:ascii="Arial" w:eastAsia="等线" w:hAnsi="Arial" w:cs="Arial"/>
          <w:sz w:val="22"/>
        </w:rPr>
        <w:t>场地绿化、屋面、道路、硬质铺装面积核算资料；</w:t>
      </w:r>
    </w:p>
    <w:p w14:paraId="7882DADE" w14:textId="3E5CFC81" w:rsidR="00EF34F4" w:rsidRDefault="001B75D8">
      <w:pPr>
        <w:spacing w:before="120" w:after="120" w:line="288" w:lineRule="auto"/>
        <w:jc w:val="left"/>
      </w:pPr>
      <w:r>
        <w:rPr>
          <w:rFonts w:ascii="Arial" w:eastAsia="等线" w:hAnsi="Arial" w:cs="Arial"/>
          <w:sz w:val="22"/>
        </w:rPr>
        <w:t>3.</w:t>
      </w:r>
      <w:r>
        <w:rPr>
          <w:rFonts w:ascii="Arial" w:eastAsia="等线" w:hAnsi="Arial" w:cs="Arial"/>
          <w:sz w:val="22"/>
        </w:rPr>
        <w:t>绿色雨水基础设施（调蓄绿地、雨水花园等）参数资料；</w:t>
      </w:r>
    </w:p>
    <w:p w14:paraId="4F136EAF" w14:textId="5D897F42" w:rsidR="00EF34F4" w:rsidRDefault="001B75D8">
      <w:pPr>
        <w:spacing w:before="120" w:after="120" w:line="288" w:lineRule="auto"/>
        <w:jc w:val="left"/>
      </w:pPr>
      <w:r>
        <w:rPr>
          <w:rFonts w:ascii="Arial" w:eastAsia="等线" w:hAnsi="Arial" w:cs="Arial"/>
          <w:sz w:val="22"/>
        </w:rPr>
        <w:t>4.</w:t>
      </w:r>
      <w:r>
        <w:rPr>
          <w:rFonts w:ascii="Arial" w:eastAsia="等线" w:hAnsi="Arial" w:cs="Arial"/>
          <w:sz w:val="22"/>
        </w:rPr>
        <w:t>屋面雨水、道路雨水衔接引导设计资料及核算依据；</w:t>
      </w:r>
    </w:p>
    <w:p w14:paraId="378A091D" w14:textId="0BE32DAC" w:rsidR="00EF34F4" w:rsidRDefault="001B75D8">
      <w:pPr>
        <w:spacing w:before="120" w:after="120" w:line="288" w:lineRule="auto"/>
        <w:jc w:val="left"/>
      </w:pPr>
      <w:r>
        <w:rPr>
          <w:rFonts w:ascii="Arial" w:eastAsia="等线" w:hAnsi="Arial" w:cs="Arial"/>
          <w:sz w:val="22"/>
        </w:rPr>
        <w:t>5.</w:t>
      </w:r>
      <w:r>
        <w:rPr>
          <w:rFonts w:ascii="Arial" w:eastAsia="等线" w:hAnsi="Arial" w:cs="Arial"/>
          <w:sz w:val="22"/>
        </w:rPr>
        <w:t>硬质铺装及透水铺装面积核算详细资料；</w:t>
      </w:r>
    </w:p>
    <w:p w14:paraId="2FB5F2DA" w14:textId="4FD86C1B" w:rsidR="00EF34F4" w:rsidRDefault="001B75D8">
      <w:pPr>
        <w:spacing w:before="120" w:after="120" w:line="288" w:lineRule="auto"/>
        <w:jc w:val="left"/>
        <w:rPr>
          <w:rFonts w:hint="eastAsia"/>
        </w:rPr>
      </w:pPr>
      <w:r>
        <w:rPr>
          <w:rFonts w:ascii="Arial" w:eastAsia="等线" w:hAnsi="Arial" w:cs="Arial"/>
          <w:sz w:val="22"/>
        </w:rPr>
        <w:t>6.</w:t>
      </w:r>
      <w:r>
        <w:rPr>
          <w:rFonts w:ascii="Arial" w:eastAsia="等线" w:hAnsi="Arial" w:cs="Arial"/>
          <w:sz w:val="22"/>
        </w:rPr>
        <w:t>计算过程详细演算稿。</w:t>
      </w:r>
    </w:p>
    <w:sectPr w:rsidR="00EF34F4">
      <w:headerReference w:type="default" r:id="rId6"/>
      <w:footerReference w:type="default" r:id="rId7"/>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EC5B" w14:textId="77777777" w:rsidR="001B75D8" w:rsidRDefault="001B75D8">
      <w:r>
        <w:separator/>
      </w:r>
    </w:p>
  </w:endnote>
  <w:endnote w:type="continuationSeparator" w:id="0">
    <w:p w14:paraId="613BEE16" w14:textId="77777777" w:rsidR="001B75D8" w:rsidRDefault="001B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AD71" w14:textId="77777777" w:rsidR="00EF34F4" w:rsidRDefault="00EF34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9579" w14:textId="77777777" w:rsidR="001B75D8" w:rsidRDefault="001B75D8">
      <w:r>
        <w:separator/>
      </w:r>
    </w:p>
  </w:footnote>
  <w:footnote w:type="continuationSeparator" w:id="0">
    <w:p w14:paraId="1738E3B3" w14:textId="77777777" w:rsidR="001B75D8" w:rsidRDefault="001B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8F6A" w14:textId="77777777" w:rsidR="00EF34F4" w:rsidRDefault="00EF34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34F4"/>
    <w:rsid w:val="001B75D8"/>
    <w:rsid w:val="00304F0B"/>
    <w:rsid w:val="00EF3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3757"/>
  <w15:docId w15:val="{FF5DA57D-065E-4564-9424-EB74BCEB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晓 常</cp:lastModifiedBy>
  <cp:revision>2</cp:revision>
  <dcterms:created xsi:type="dcterms:W3CDTF">2026-03-25T05:40:00Z</dcterms:created>
  <dcterms:modified xsi:type="dcterms:W3CDTF">2026-03-25T05:41:00Z</dcterms:modified>
</cp:coreProperties>
</file>