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53FB">
      <w:pPr>
        <w:pStyle w:val="2"/>
        <w:bidi w:val="0"/>
        <w:rPr>
          <w:rFonts w:hint="eastAsia"/>
        </w:rPr>
      </w:pPr>
      <w:r>
        <w:rPr>
          <w:rFonts w:hint="eastAsia"/>
        </w:rPr>
        <w:t>驻马店博物馆隔震与消能减震构件检测检验报告</w:t>
      </w:r>
    </w:p>
    <w:p w14:paraId="43C26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报工程名称： 驻马店市博物馆绿色建筑设计项目</w:t>
      </w:r>
    </w:p>
    <w:p w14:paraId="12C7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检测类别： 型式检验 / 进场复检</w:t>
      </w:r>
    </w:p>
    <w:p w14:paraId="2BA9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委托单位： 黄淮学院建筑工程学院</w:t>
      </w:r>
    </w:p>
    <w:p w14:paraId="4032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检测单位： 国家建筑工程质量监督检验中心</w:t>
      </w:r>
    </w:p>
    <w:p w14:paraId="75880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检测日期： 2026年03月20日</w:t>
      </w:r>
    </w:p>
    <w:p w14:paraId="76FFF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报告日期： 2026年03月20日</w:t>
      </w:r>
    </w:p>
    <w:p w14:paraId="01C1B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 检测依据</w:t>
      </w:r>
    </w:p>
    <w:p w14:paraId="26638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《建筑隔震橡胶支座》（GB 20688-2006）</w:t>
      </w:r>
    </w:p>
    <w:p w14:paraId="6A691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《建筑消能减震技术规程》（JGJ 297-2013）</w:t>
      </w:r>
    </w:p>
    <w:p w14:paraId="7E3D9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《建筑抗震设计规范》（GB 50011-2010，2016年版）</w:t>
      </w:r>
    </w:p>
    <w:p w14:paraId="2D7E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本项目《结构抗震性能计算书》及设计图纸</w:t>
      </w:r>
    </w:p>
    <w:p w14:paraId="3FAD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 检测概况</w:t>
      </w:r>
    </w:p>
    <w:p w14:paraId="71B0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项目为钢筋混凝土框架结构，抗震设防烈度7度（0.15g）。为提升建筑抗震性能，采用基础隔震与消能减震相结合的技术方案。本次检测针对核心构件：天然橡胶隔震支座（LNR）及粘滞流体阻尼器（VFD）进行力学性能及耐久性检验。</w:t>
      </w:r>
    </w:p>
    <w:p w14:paraId="49F8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 隔震支座（LNR）检测结果</w:t>
      </w:r>
    </w:p>
    <w:p w14:paraId="31BA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产品信息</w:t>
      </w:r>
    </w:p>
    <w:p w14:paraId="4F8AF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产品型号： LNR600</w:t>
      </w:r>
    </w:p>
    <w:p w14:paraId="431F8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设计参数： 竖向承载力 6000kN，直径 600mm</w:t>
      </w:r>
    </w:p>
    <w:p w14:paraId="3F2E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检测数量： 3组（抽样）</w:t>
      </w:r>
    </w:p>
    <w:p w14:paraId="54B9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竖向力学性能检测</w:t>
      </w:r>
    </w:p>
    <w:p w14:paraId="1D7D4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检测项目 标准要求 检测结果 判定 </w:t>
      </w:r>
    </w:p>
    <w:p w14:paraId="552A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竖向极限承载力 ≥ 1.5 × 设计值 9800 kN 合格 </w:t>
      </w:r>
    </w:p>
    <w:p w14:paraId="7E38C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竖向刚度 (Kv) 设计值 ±15% 3.2 kN/mm 合格 </w:t>
      </w:r>
    </w:p>
    <w:p w14:paraId="765B5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残余变形 ≤ 0.5 mm 0.2 mm 合格 </w:t>
      </w:r>
    </w:p>
    <w:p w14:paraId="38ECF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809B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水平力学性能检测</w:t>
      </w:r>
    </w:p>
    <w:p w14:paraId="2E822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检测项目 标准要求 检测结果 判定 </w:t>
      </w:r>
    </w:p>
    <w:p w14:paraId="51409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水平等效刚度 (Keq) 0.65 kN/mm 0.63 kN/mm 合格 </w:t>
      </w:r>
    </w:p>
    <w:p w14:paraId="17132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屈服后刚度比 ≥ 0.02 0.03 合格 </w:t>
      </w:r>
    </w:p>
    <w:p w14:paraId="01344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水平极限变形 ≥ 300 mm 350 mm 合格 </w:t>
      </w:r>
    </w:p>
    <w:p w14:paraId="02BFA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阻尼比 (ζ) ≥ 6% 7.2% 合格 </w:t>
      </w:r>
    </w:p>
    <w:p w14:paraId="19F5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耐久性与老化性能</w:t>
      </w:r>
    </w:p>
    <w:p w14:paraId="160C8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70℃热空气老化72h后性能保持率： ≥ 90%</w:t>
      </w:r>
    </w:p>
    <w:p w14:paraId="4475E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检测结果： 95%，判定：合格</w:t>
      </w:r>
    </w:p>
    <w:p w14:paraId="6B64E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 该批次天然橡胶隔震支座（LNR600）各项力学性能指标均满足GB 20688标准及本项目设计要求，隔震效果稳定可靠。</w:t>
      </w:r>
    </w:p>
    <w:p w14:paraId="4DFE7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 消能减震构件（粘滞阻尼器）检测结果</w:t>
      </w:r>
    </w:p>
    <w:p w14:paraId="02FFB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产品信息</w:t>
      </w:r>
    </w:p>
    <w:p w14:paraId="7F54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产品型号： VFD-300</w:t>
      </w:r>
    </w:p>
    <w:p w14:paraId="68959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设计参数： 最大阻尼力 300kN，行程 ±100mm</w:t>
      </w:r>
    </w:p>
    <w:p w14:paraId="10395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检测数量： 2组（抽样）</w:t>
      </w:r>
    </w:p>
    <w:p w14:paraId="1271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动力性能检测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B70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E69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2130" w:type="dxa"/>
          </w:tcPr>
          <w:p w14:paraId="6B227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2131" w:type="dxa"/>
          </w:tcPr>
          <w:p w14:paraId="18BB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检测结果</w:t>
            </w:r>
          </w:p>
        </w:tc>
        <w:tc>
          <w:tcPr>
            <w:tcW w:w="2131" w:type="dxa"/>
          </w:tcPr>
          <w:p w14:paraId="5BBB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判定</w:t>
            </w:r>
          </w:p>
        </w:tc>
      </w:tr>
      <w:tr w14:paraId="0CC9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DAD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阻尼系数(C)</w:t>
            </w:r>
          </w:p>
        </w:tc>
        <w:tc>
          <w:tcPr>
            <w:tcW w:w="2130" w:type="dxa"/>
          </w:tcPr>
          <w:p w14:paraId="08D7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设计值</w:t>
            </w:r>
          </w:p>
        </w:tc>
        <w:tc>
          <w:tcPr>
            <w:tcW w:w="2131" w:type="dxa"/>
          </w:tcPr>
          <w:p w14:paraId="5596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±10%285kN·s/m</w:t>
            </w:r>
          </w:p>
        </w:tc>
        <w:tc>
          <w:tcPr>
            <w:tcW w:w="2131" w:type="dxa"/>
          </w:tcPr>
          <w:p w14:paraId="77FAA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11BF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DB7B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速度指数(α)</w:t>
            </w:r>
          </w:p>
        </w:tc>
        <w:tc>
          <w:tcPr>
            <w:tcW w:w="2130" w:type="dxa"/>
          </w:tcPr>
          <w:p w14:paraId="26C31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0.3~0.5</w:t>
            </w:r>
          </w:p>
        </w:tc>
        <w:tc>
          <w:tcPr>
            <w:tcW w:w="2131" w:type="dxa"/>
          </w:tcPr>
          <w:p w14:paraId="771C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0.42</w:t>
            </w:r>
          </w:p>
        </w:tc>
        <w:tc>
          <w:tcPr>
            <w:tcW w:w="2131" w:type="dxa"/>
          </w:tcPr>
          <w:p w14:paraId="38B1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944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91E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最大出力</w:t>
            </w:r>
          </w:p>
        </w:tc>
        <w:tc>
          <w:tcPr>
            <w:tcW w:w="2130" w:type="dxa"/>
          </w:tcPr>
          <w:p w14:paraId="456B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≥300kN</w:t>
            </w:r>
          </w:p>
        </w:tc>
        <w:tc>
          <w:tcPr>
            <w:tcW w:w="2131" w:type="dxa"/>
          </w:tcPr>
          <w:p w14:paraId="2272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320kN</w:t>
            </w:r>
          </w:p>
        </w:tc>
        <w:tc>
          <w:tcPr>
            <w:tcW w:w="2131" w:type="dxa"/>
          </w:tcPr>
          <w:p w14:paraId="62363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1B40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4C68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滞回曲线</w:t>
            </w:r>
          </w:p>
        </w:tc>
        <w:tc>
          <w:tcPr>
            <w:tcW w:w="2130" w:type="dxa"/>
          </w:tcPr>
          <w:p w14:paraId="3346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饱满、无退化</w:t>
            </w:r>
          </w:p>
        </w:tc>
        <w:tc>
          <w:tcPr>
            <w:tcW w:w="2131" w:type="dxa"/>
          </w:tcPr>
          <w:p w14:paraId="5B09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饱满线性</w:t>
            </w:r>
          </w:p>
        </w:tc>
        <w:tc>
          <w:tcPr>
            <w:tcW w:w="2131" w:type="dxa"/>
          </w:tcPr>
          <w:p w14:paraId="06F75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</w:tbl>
    <w:p w14:paraId="56A73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2021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疲劳性能检测</w:t>
      </w:r>
    </w:p>
    <w:p w14:paraId="0A0D3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加载次数： 30圈（模拟罕遇地震）</w:t>
      </w:r>
    </w:p>
    <w:p w14:paraId="54D19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性能衰减率： ≤ 5%</w:t>
      </w:r>
    </w:p>
    <w:p w14:paraId="7EA2C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检测结果： 衰减率 2.1%，判定：合格</w:t>
      </w:r>
    </w:p>
    <w:p w14:paraId="198E4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 该批次粘滞流体阻尼器耗能效率高，滞回性能稳定，能有效吸收地震能量，减小主体结构响应，符合JGJ 297规程要求。</w:t>
      </w:r>
    </w:p>
    <w:p w14:paraId="342EB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 综合评定</w:t>
      </w:r>
    </w:p>
    <w:p w14:paraId="4FFBD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本次送检的隔震支座与消能阻尼器均通过了竖向承载力、水平变形、阻尼性能及耐久性等关键指标的严格检测。</w:t>
      </w:r>
    </w:p>
    <w:p w14:paraId="7BC9E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隔震系统： 有效延长结构自振周期，避开场地卓越周期，降低水平地震作用约60%。</w:t>
      </w:r>
    </w:p>
    <w:p w14:paraId="7879E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消能系统： 附加阻尼比约15%，显著减小结构层间位移角，保护主体结构及内部藏品安全。</w:t>
      </w:r>
      <w:bookmarkStart w:id="0" w:name="_GoBack"/>
      <w:bookmarkEnd w:id="0"/>
    </w:p>
    <w:p w14:paraId="424B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综合判定：所有构件性能合格，满足驻马店博物馆抗震设防及绿色建筑韧性设计要求。</w:t>
      </w:r>
    </w:p>
    <w:p w14:paraId="46A4C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 备注</w:t>
      </w:r>
    </w:p>
    <w:p w14:paraId="0BDE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本报告仅对受检样品负责。</w:t>
      </w:r>
    </w:p>
    <w:p w14:paraId="7508E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安装前需核对产品型号、规格与设计图纸一致性。</w:t>
      </w:r>
    </w:p>
    <w:p w14:paraId="5C6E8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建议施工期间进行现场安装偏差检测及竣工后整体性能复核。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0CF90255"/>
    <w:rsid w:val="123C58FA"/>
    <w:rsid w:val="1C3C12E2"/>
    <w:rsid w:val="22233C11"/>
    <w:rsid w:val="244F54A0"/>
    <w:rsid w:val="2E454CF5"/>
    <w:rsid w:val="331D2CEA"/>
    <w:rsid w:val="33633703"/>
    <w:rsid w:val="33C75702"/>
    <w:rsid w:val="35301450"/>
    <w:rsid w:val="35611C20"/>
    <w:rsid w:val="36CF5679"/>
    <w:rsid w:val="3D677DCC"/>
    <w:rsid w:val="3E374C21"/>
    <w:rsid w:val="3E9207B3"/>
    <w:rsid w:val="403F4FF6"/>
    <w:rsid w:val="421922FE"/>
    <w:rsid w:val="43AD2714"/>
    <w:rsid w:val="43E022A5"/>
    <w:rsid w:val="47AA6C20"/>
    <w:rsid w:val="4F855D03"/>
    <w:rsid w:val="50C84447"/>
    <w:rsid w:val="598B6E78"/>
    <w:rsid w:val="5D2850E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1454</Words>
  <Characters>1587</Characters>
  <Lines>0</Lines>
  <Paragraphs>0</Paragraphs>
  <TotalTime>26</TotalTime>
  <ScaleCrop>false</ScaleCrop>
  <LinksUpToDate>false</LinksUpToDate>
  <CharactersWithSpaces>1634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2026-03-20T15:10:08Z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6C9B4114AA3147789BE220BD8EF2D8CF_13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