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绿色建筑性能评价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left"/>
      </w:pPr>
      <w:r>
        <w:rPr>
          <w:rFonts w:hint="eastAsia" w:ascii="宋体" w:hAnsi="宋体"/>
          <w:bCs/>
          <w:color w:val="000000"/>
          <w:sz w:val="30"/>
          <w:szCs w:val="30"/>
        </w:rPr>
        <w:t>申报项目名称： 承德市鹰手营子矿区寿王坟历史文化街区基础设施建设改造提升工程</w:t>
      </w:r>
    </w:p>
    <w:p>
      <w:pPr>
        <w:jc w:val="left"/>
      </w:pPr>
      <w:r>
        <w:rPr>
          <w:rFonts w:hint="eastAsia" w:ascii="宋体" w:hAnsi="宋体"/>
          <w:bCs/>
          <w:color w:val="000000"/>
          <w:sz w:val="30"/>
          <w:szCs w:val="30"/>
        </w:rPr>
        <w:t>申报单位名称： 承德市鹰手营子矿区住房和城乡建设局</w:t>
      </w:r>
    </w:p>
    <w:p>
      <w:pPr>
        <w:jc w:val="left"/>
      </w:pPr>
      <w:r>
        <w:rPr>
          <w:rFonts w:hint="eastAsia" w:ascii="宋体" w:hAnsi="宋体"/>
          <w:bCs/>
          <w:color w:val="000000"/>
          <w:sz w:val="30"/>
          <w:szCs w:val="30"/>
        </w:rPr>
        <w:t>参与单位名称：河北全过程工程技术服务有限公司</w:t>
      </w:r>
    </w:p>
    <w:p>
      <w:pPr>
        <w:jc w:val="left"/>
      </w:pPr>
      <w:r>
        <w:rPr>
          <w:rFonts w:hint="eastAsia" w:ascii="宋体" w:hAnsi="宋体"/>
          <w:bCs/>
          <w:color w:val="000000"/>
          <w:sz w:val="30"/>
          <w:szCs w:val="30"/>
        </w:rPr>
        <w:t>咨询单位名称：</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left"/>
      </w:pPr>
      <w:r>
        <w:rPr>
          <w:rFonts w:hint="eastAsia" w:ascii="宋体" w:hAnsi="宋体"/>
          <w:bCs/>
          <w:color w:val="000000"/>
          <w:sz w:val="30"/>
          <w:szCs w:val="30"/>
        </w:rPr>
        <w:t>自评星级：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 </w:t>
      </w:r>
    </w:p>
    <w:p>
      <w:pPr>
        <w:jc w:val="center"/>
      </w:pPr>
      <w:r>
        <w:rPr>
          <w:rFonts w:hint="eastAsia" w:ascii="宋体" w:hAnsi="宋体"/>
          <w:b/>
          <w:bCs/>
          <w:color w:val="000000"/>
          <w:sz w:val="32"/>
          <w:szCs w:val="32"/>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left"/>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left"/>
      </w:pPr>
      <w:r>
        <w:rPr>
          <w:rFonts w:hint="eastAsia" w:ascii="宋体" w:hAnsi="宋体"/>
          <w:b/>
          <w:bCs/>
          <w:color w:val="000000"/>
          <w:sz w:val="28"/>
          <w:szCs w:val="28"/>
        </w:rPr>
        <w:t>一、自评总述</w:t>
      </w:r>
    </w:p>
    <w:p>
      <w:pPr>
        <w:jc w:val="left"/>
      </w:pPr>
      <w:r>
        <w:rPr>
          <w:rFonts w:hint="eastAsia" w:ascii="宋体" w:hAnsi="宋体"/>
          <w:bCs/>
          <w:color w:val="000000"/>
          <w:sz w:val="30"/>
          <w:szCs w:val="30"/>
        </w:rPr>
        <w:t>1、各类指标的评分项得分均不小于该评分项满分值的30%。□</w:t>
      </w:r>
    </w:p>
    <w:p>
      <w:pPr>
        <w:jc w:val="left"/>
      </w:pPr>
      <w:r>
        <w:rPr>
          <w:rFonts w:hint="eastAsia" w:ascii="宋体" w:hAnsi="宋体"/>
          <w:bCs/>
          <w:color w:val="000000"/>
          <w:sz w:val="30"/>
          <w:szCs w:val="30"/>
        </w:rPr>
        <w:t>2、全装修…………………………………………………………√</w:t>
      </w:r>
    </w:p>
    <w:p>
      <w:pPr>
        <w:jc w:val="left"/>
      </w:pPr>
      <w:r>
        <w:rPr>
          <w:rFonts w:hint="eastAsia" w:ascii="宋体" w:hAnsi="宋体"/>
          <w:bCs/>
          <w:color w:val="000000"/>
          <w:sz w:val="24"/>
          <w:szCs w:val="24"/>
        </w:rPr>
        <w:t>3、技术要求：</w:t>
      </w:r>
    </w:p>
    <w:p>
      <w:pPr>
        <w:jc w:val="center"/>
      </w:pPr>
      <w:r>
        <w:rPr>
          <w:rFonts w:hint="eastAsia" w:ascii="宋体" w:hAnsi="宋体"/>
          <w:bCs/>
          <w:color w:val="000000"/>
          <w:sz w:val="24"/>
          <w:szCs w:val="24"/>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vAlign w:val="center"/>
          </w:tcPr>
          <w:p>
            <w:pPr>
              <w:jc w:val="center"/>
            </w:pPr>
            <w:r>
              <w:rPr>
                <w:rFonts w:hint="eastAsia" w:ascii="宋体" w:hAnsi="宋体"/>
                <w:bCs/>
                <w:color w:val="000000"/>
                <w:sz w:val="24"/>
                <w:szCs w:val="24"/>
              </w:rPr>
              <w:t>技术指标内容</w:t>
            </w:r>
          </w:p>
        </w:tc>
        <w:tc>
          <w:tcPr>
            <w:tcW w:w="1900" w:type="dxa"/>
            <w:vAlign w:val="center"/>
          </w:tcPr>
          <w:p>
            <w:pPr>
              <w:spacing w:before="0" w:after="3" w:lineRule="auto"/>
              <w:jc w:val="center"/>
            </w:pPr>
            <w:r>
              <w:rPr>
                <w:rFonts w:hint="eastAsia" w:ascii="宋体" w:hAnsi="宋体"/>
                <w:bCs/>
                <w:color w:val="000000"/>
                <w:sz w:val="24"/>
                <w:szCs w:val="24"/>
              </w:rPr>
              <w:t>自评情况</w:t>
            </w:r>
          </w:p>
        </w:tc>
        <w:tc>
          <w:tcPr>
            <w:tcW w:w="1900" w:type="dxa"/>
            <w:vAlign w:val="center"/>
          </w:tcPr>
          <w:p>
            <w:pPr>
              <w:spacing w:before="0" w:after="3" w:lineRule="auto"/>
              <w:jc w:val="center"/>
            </w:pPr>
            <w:r>
              <w:rPr>
                <w:rFonts w:hint="eastAsia" w:ascii="宋体" w:hAnsi="宋体"/>
                <w:bCs/>
                <w:color w:val="000000"/>
                <w:sz w:val="24"/>
                <w:szCs w:val="24"/>
              </w:rPr>
              <w:t>申报星级要求</w:t>
            </w:r>
          </w:p>
        </w:tc>
        <w:tc>
          <w:tcPr>
            <w:tcW w:w="1900" w:type="dxa"/>
            <w:vAlign w:val="center"/>
          </w:tcPr>
          <w:p>
            <w:pPr>
              <w:spacing w:before="0" w:after="3" w:lineRule="auto"/>
              <w:jc w:val="center"/>
            </w:pPr>
            <w:r>
              <w:rPr>
                <w:rFonts w:hint="eastAsia" w:ascii="宋体" w:hAnsi="宋体"/>
                <w:bCs/>
                <w:color w:val="000000"/>
                <w:sz w:val="24"/>
                <w:szCs w:val="24"/>
              </w:rPr>
              <w:t>是否达标</w:t>
            </w:r>
          </w:p>
        </w:tc>
      </w:tr>
      <w:tr>
        <w:tc>
          <w:tcPr>
            <w:tcW w:w="1900" w:type="dxa"/>
            <w:vAlign w:val="center"/>
          </w:tcPr>
          <w:p>
            <w:pPr>
              <w:spacing w:before="0" w:after="3" w:lineRule="auto"/>
              <w:jc w:val="center"/>
            </w:pPr>
            <w:r>
              <w:rPr>
                <w:rFonts w:hint="eastAsia" w:ascii="宋体" w:hAnsi="宋体"/>
                <w:bCs/>
                <w:color w:val="000000"/>
                <w:sz w:val="24"/>
                <w:szCs w:val="24"/>
              </w:rPr>
              <w:t>围护结构热工性能的提高比例，或建筑供暖空调负荷降低比例</w:t>
            </w:r>
          </w:p>
        </w:tc>
        <w:tc>
          <w:tcPr>
            <w:tcW w:w="1900" w:type="dxa"/>
            <w:vAlign w:val="center"/>
          </w:tcPr>
          <w:p>
            <w:pPr>
              <w:spacing w:before="0" w:after="3" w:lineRule="auto"/>
              <w:jc w:val="center"/>
            </w:pPr>
            <w:r>
              <w:rPr>
                <w:rFonts w:hint="eastAsia" w:ascii="宋体" w:hAnsi="宋体"/>
                <w:bCs/>
                <w:color w:val="000000"/>
                <w:sz w:val="24"/>
                <w:szCs w:val="24"/>
              </w:rPr>
              <w:t>围护结构提高11%或负荷降低%</w:t>
            </w:r>
          </w:p>
        </w:tc>
        <w:tc>
          <w:tcPr>
            <w:tcW w:w="1900" w:type="dxa"/>
            <w:vAlign w:val="center"/>
          </w:tcPr>
          <w:p>
            <w:pPr>
              <w:spacing w:before="0" w:after="3" w:lineRule="auto"/>
              <w:jc w:val="center"/>
            </w:pPr>
            <w:r>
              <w:rPr>
                <w:rFonts w:hint="eastAsia" w:ascii="宋体" w:hAnsi="宋体"/>
                <w:bCs/>
                <w:color w:val="000000"/>
                <w:sz w:val="24"/>
                <w:szCs w:val="24"/>
              </w:rPr>
              <w:t>围护结构提高5%或负荷降低5%</w:t>
            </w:r>
          </w:p>
        </w:tc>
        <w:tc>
          <w:tcPr>
            <w:tcW w:w="1900" w:type="dxa"/>
            <w:vAlign w:val="center"/>
          </w:tcPr>
          <w:p>
            <w:pPr>
              <w:spacing w:before="0" w:after="3" w:lineRule="auto"/>
              <w:jc w:val="center"/>
            </w:pPr>
            <w:r>
              <w:rPr>
                <w:rFonts w:hint="eastAsia" w:ascii="宋体" w:hAnsi="宋体"/>
                <w:bCs/>
                <w:color w:val="000000"/>
                <w:sz w:val="24"/>
                <w:szCs w:val="24"/>
              </w:rPr>
              <w:t>是</w:t>
            </w:r>
          </w:p>
        </w:tc>
      </w:tr>
      <w:tr>
        <w:tc>
          <w:tcPr>
            <w:tcW w:w="1900" w:type="dxa"/>
            <w:vAlign w:val="center"/>
          </w:tcPr>
          <w:p>
            <w:pPr>
              <w:spacing w:before="0" w:after="3" w:lineRule="auto"/>
              <w:jc w:val="center"/>
            </w:pPr>
            <w:r>
              <w:rPr>
                <w:rFonts w:hint="eastAsia" w:ascii="宋体" w:hAnsi="宋体"/>
                <w:bCs/>
                <w:color w:val="000000"/>
                <w:sz w:val="24"/>
                <w:szCs w:val="24"/>
              </w:rPr>
              <w:t>节水器具用水效率等级</w:t>
            </w:r>
          </w:p>
        </w:tc>
        <w:tc>
          <w:tcPr>
            <w:tcW w:w="1900" w:type="dxa"/>
            <w:vAlign w:val="center"/>
          </w:tcPr>
          <w:p>
            <w:pPr>
              <w:spacing w:before="0" w:after="3" w:lineRule="auto"/>
              <w:jc w:val="center"/>
            </w:pPr>
            <w:r>
              <w:rPr>
                <w:rFonts w:hint="eastAsia" w:ascii="宋体" w:hAnsi="宋体"/>
                <w:bCs/>
                <w:color w:val="000000"/>
                <w:sz w:val="24"/>
                <w:szCs w:val="24"/>
              </w:rPr>
              <w:t>1级</w:t>
            </w:r>
          </w:p>
        </w:tc>
        <w:tc>
          <w:tcPr>
            <w:tcW w:w="1900" w:type="dxa"/>
            <w:vAlign w:val="center"/>
          </w:tcPr>
          <w:p>
            <w:pPr>
              <w:spacing w:before="0" w:after="3" w:lineRule="auto"/>
              <w:jc w:val="center"/>
            </w:pPr>
            <w:r>
              <w:rPr>
                <w:rFonts w:hint="eastAsia" w:ascii="宋体" w:hAnsi="宋体"/>
                <w:bCs/>
                <w:color w:val="000000"/>
                <w:sz w:val="24"/>
                <w:szCs w:val="24"/>
              </w:rPr>
              <w:t>3级</w:t>
            </w:r>
          </w:p>
        </w:tc>
        <w:tc>
          <w:tcPr>
            <w:tcW w:w="1900" w:type="dxa"/>
            <w:vAlign w:val="center"/>
          </w:tcPr>
          <w:p>
            <w:pPr>
              <w:spacing w:before="0" w:after="3" w:lineRule="auto"/>
              <w:jc w:val="center"/>
            </w:pPr>
            <w:r>
              <w:rPr>
                <w:rFonts w:hint="eastAsia" w:ascii="宋体" w:hAnsi="宋体"/>
                <w:bCs/>
                <w:color w:val="000000"/>
                <w:sz w:val="24"/>
                <w:szCs w:val="24"/>
              </w:rPr>
              <w:t>是</w:t>
            </w:r>
          </w:p>
        </w:tc>
      </w:tr>
      <w:tr>
        <w:tc>
          <w:tcPr>
            <w:tcW w:w="1900" w:type="dxa"/>
            <w:vAlign w:val="center"/>
          </w:tcPr>
          <w:p>
            <w:pPr>
              <w:spacing w:before="0" w:after="3" w:lineRule="auto"/>
              <w:jc w:val="center"/>
            </w:pPr>
            <w:r>
              <w:rPr>
                <w:rFonts w:hint="eastAsia" w:ascii="宋体" w:hAnsi="宋体"/>
                <w:bCs/>
                <w:color w:val="000000"/>
                <w:sz w:val="24"/>
                <w:szCs w:val="24"/>
              </w:rPr>
              <w:t>室内主要空气污染物浓度降低比例</w:t>
            </w:r>
          </w:p>
        </w:tc>
        <w:tc>
          <w:tcPr>
            <w:tcW w:w="1900" w:type="dxa"/>
            <w:vAlign w:val="center"/>
          </w:tcPr>
          <w:p>
            <w:pPr>
              <w:spacing w:before="0" w:after="3" w:lineRule="auto"/>
              <w:jc w:val="center"/>
            </w:pPr>
            <w:r>
              <w:rPr>
                <w:rFonts w:hint="eastAsia" w:ascii="宋体" w:hAnsi="宋体"/>
                <w:bCs/>
                <w:color w:val="000000"/>
                <w:sz w:val="24"/>
                <w:szCs w:val="24"/>
              </w:rPr>
              <w:t>20%</w:t>
            </w:r>
          </w:p>
        </w:tc>
        <w:tc>
          <w:tcPr>
            <w:tcW w:w="1900" w:type="dxa"/>
            <w:vAlign w:val="center"/>
          </w:tcPr>
          <w:p>
            <w:pPr>
              <w:spacing w:before="0" w:after="3" w:lineRule="auto"/>
              <w:jc w:val="center"/>
            </w:pPr>
            <w:r>
              <w:rPr>
                <w:rFonts w:hint="eastAsia" w:ascii="宋体" w:hAnsi="宋体"/>
                <w:bCs/>
                <w:color w:val="000000"/>
                <w:sz w:val="24"/>
                <w:szCs w:val="24"/>
              </w:rPr>
              <w:t>10%</w:t>
            </w:r>
          </w:p>
        </w:tc>
        <w:tc>
          <w:tcPr>
            <w:tcW w:w="1900" w:type="dxa"/>
            <w:vAlign w:val="center"/>
          </w:tcPr>
          <w:p>
            <w:pPr>
              <w:spacing w:before="0" w:after="3" w:lineRule="auto"/>
              <w:jc w:val="center"/>
            </w:pPr>
            <w:r>
              <w:rPr>
                <w:rFonts w:hint="eastAsia" w:ascii="宋体" w:hAnsi="宋体"/>
                <w:bCs/>
                <w:color w:val="000000"/>
                <w:sz w:val="24"/>
                <w:szCs w:val="24"/>
              </w:rPr>
              <w:t>是</w:t>
            </w:r>
          </w:p>
        </w:tc>
      </w:tr>
      <w:tr>
        <w:tc>
          <w:tcPr>
            <w:tcW w:w="1900" w:type="dxa"/>
            <w:vAlign w:val="center"/>
          </w:tcPr>
          <w:p>
            <w:pPr>
              <w:spacing w:before="0" w:after="3" w:lineRule="auto"/>
              <w:jc w:val="center"/>
            </w:pPr>
            <w:r>
              <w:rPr>
                <w:rFonts w:hint="eastAsia" w:ascii="宋体" w:hAnsi="宋体"/>
                <w:bCs/>
                <w:color w:val="000000"/>
                <w:sz w:val="24"/>
                <w:szCs w:val="24"/>
              </w:rPr>
              <w:t>绿色建材应用比例</w:t>
            </w:r>
          </w:p>
        </w:tc>
        <w:tc>
          <w:tcPr>
            <w:tcW w:w="1900" w:type="dxa"/>
            <w:vAlign w:val="center"/>
          </w:tcPr>
          <w:p>
            <w:pPr>
              <w:spacing w:before="0" w:after="3" w:lineRule="auto"/>
              <w:jc w:val="center"/>
            </w:pPr>
            <w:r>
              <w:rPr>
                <w:rFonts w:hint="eastAsia" w:ascii="宋体" w:hAnsi="宋体"/>
                <w:bCs/>
                <w:color w:val="000000"/>
                <w:sz w:val="24"/>
                <w:szCs w:val="24"/>
              </w:rPr>
              <w:t>10%</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是</w:t>
            </w:r>
          </w:p>
        </w:tc>
      </w:tr>
      <w:tr>
        <w:tc>
          <w:tcPr>
            <w:tcW w:w="1900" w:type="dxa"/>
            <w:vAlign w:val="center"/>
          </w:tcPr>
          <w:p>
            <w:pPr>
              <w:spacing w:before="0" w:after="3" w:lineRule="auto"/>
              <w:jc w:val="center"/>
            </w:pPr>
            <w:r>
              <w:rPr>
                <w:rFonts w:hint="eastAsia" w:ascii="宋体" w:hAnsi="宋体"/>
                <w:bCs/>
                <w:color w:val="000000"/>
                <w:sz w:val="24"/>
                <w:szCs w:val="24"/>
              </w:rPr>
              <w:t>碳减排</w:t>
            </w:r>
          </w:p>
        </w:tc>
        <w:tc>
          <w:tcPr>
            <w:tcW w:w="1900" w:type="dxa"/>
            <w:vAlign w:val="center"/>
          </w:tcPr>
          <w:p>
            <w:pPr>
              <w:spacing w:before="0" w:after="3" w:lineRule="auto"/>
              <w:jc w:val="center"/>
            </w:pPr>
            <w:r>
              <w:rPr>
                <w:rFonts w:hint="eastAsia" w:ascii="宋体" w:hAnsi="宋体"/>
                <w:bCs/>
                <w:color w:val="000000"/>
                <w:sz w:val="24"/>
                <w:szCs w:val="24"/>
              </w:rPr>
              <w:t>23.58%</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是</w:t>
            </w:r>
          </w:p>
        </w:tc>
      </w:tr>
      <w:tr>
        <w:tc>
          <w:tcPr>
            <w:tcW w:w="1900" w:type="dxa"/>
            <w:vAlign w:val="center"/>
          </w:tcPr>
          <w:p>
            <w:pPr>
              <w:spacing w:before="0" w:after="3" w:lineRule="auto"/>
              <w:jc w:val="center"/>
            </w:pPr>
            <w:r>
              <w:rPr>
                <w:rFonts w:hint="eastAsia" w:ascii="宋体" w:hAnsi="宋体"/>
                <w:bCs/>
                <w:color w:val="000000"/>
                <w:sz w:val="24"/>
                <w:szCs w:val="24"/>
              </w:rPr>
              <w:t>外窗气密性能</w:t>
            </w:r>
          </w:p>
        </w:tc>
        <w:tc>
          <w:tcPr>
            <w:tcW w:w="1900" w:type="dxa"/>
            <w:vAlign w:val="center"/>
          </w:tcPr>
          <w:p>
            <w:pPr>
              <w:spacing w:before="0" w:after="3" w:lineRule="auto"/>
              <w:jc w:val="center"/>
            </w:pPr>
            <w:r>
              <w:rPr>
                <w:rFonts w:hint="eastAsia" w:ascii="宋体" w:hAnsi="宋体"/>
                <w:bCs/>
                <w:color w:val="000000"/>
                <w:sz w:val="24"/>
                <w:szCs w:val="24"/>
              </w:rPr>
              <w:t>1级</w:t>
            </w:r>
          </w:p>
        </w:tc>
        <w:tc>
          <w:tcPr>
            <w:tcW w:w="1900" w:type="dxa"/>
            <w:vAlign w:val="center"/>
          </w:tcPr>
          <w:p>
            <w:pPr>
              <w:spacing w:before="0" w:after="3" w:lineRule="auto"/>
              <w:jc w:val="center"/>
            </w:pPr>
            <w:r>
              <w:rPr>
                <w:rFonts w:hint="eastAsia" w:ascii="宋体" w:hAnsi="宋体"/>
                <w:bCs/>
                <w:color w:val="000000"/>
                <w:sz w:val="24"/>
                <w:szCs w:val="24"/>
              </w:rPr>
              <w:t>符合国家现行相关节能设计标准的规定，且外窗洞口与外窗本体的结合部位应严密</w:t>
            </w:r>
          </w:p>
        </w:tc>
        <w:tc>
          <w:tcPr>
            <w:tcW w:w="1900" w:type="dxa"/>
            <w:vAlign w:val="center"/>
          </w:tcPr>
          <w:p>
            <w:pPr>
              <w:spacing w:before="0" w:after="3" w:lineRule="auto"/>
              <w:jc w:val="center"/>
            </w:pPr>
            <w:r>
              <w:rPr>
                <w:rFonts w:hint="eastAsia" w:ascii="宋体" w:hAnsi="宋体"/>
                <w:bCs/>
                <w:color w:val="000000"/>
                <w:sz w:val="24"/>
                <w:szCs w:val="24"/>
              </w:rPr>
              <w:t>是</w:t>
            </w:r>
          </w:p>
        </w:tc>
      </w:tr>
    </w:tbl>
    <w:p>
      <w:pPr>
        <w:jc w:val="left"/>
      </w:pPr>
      <w:r>
        <w:rPr>
          <w:rFonts w:hint="eastAsia" w:ascii="宋体" w:hAnsi="宋体"/>
          <w:bCs/>
          <w:color w:val="000000"/>
          <w:sz w:val="24"/>
          <w:szCs w:val="24"/>
          <w:u w:val="single"/>
        </w:rPr>
        <w:t/>
      </w:r>
    </w:p>
    <w:p>
      <w:pPr>
        <w:jc w:val="left"/>
      </w:pPr>
      <w:r>
        <w:rPr>
          <w:rFonts w:hint="eastAsia" w:ascii="宋体" w:hAnsi="宋体"/>
          <w:bCs/>
          <w:color w:val="000000"/>
          <w:sz w:val="24"/>
          <w:szCs w:val="24"/>
        </w:rPr>
        <w:t/>
      </w:r>
      <w:r>
        <w:rPr>
          <w:rFonts w:hint="eastAsia" w:ascii="宋体" w:hAnsi="宋体"/>
          <w:bCs/>
          <w:color w:val="000000"/>
          <w:sz w:val="24"/>
          <w:szCs w:val="24"/>
        </w:rPr>
        <w:t>4、得分情况：</w:t>
      </w:r>
    </w:p>
    <w:p>
      <w:pPr>
        <w:jc w:val="center"/>
      </w:pPr>
      <w:r>
        <w:rPr>
          <w:rFonts w:hint="eastAsia" w:ascii="宋体" w:hAnsi="宋体"/>
          <w:bCs/>
          <w:color w:val="000000"/>
          <w:sz w:val="24"/>
          <w:szCs w:val="24"/>
        </w:rPr>
        <w:t>评价指标体系评分项</w:t>
      </w:r>
    </w:p>
    <w:p>
      <w:pPr>
        <w:jc w:val="center"/>
      </w:pPr>
      <w:r>
        <w:rPr>
          <w:rFonts w:hint="eastAsia" w:ascii="宋体" w:hAnsi="宋体"/>
          <w:bCs/>
          <w:color w:val="000000"/>
          <w:sz w:val="24"/>
          <w:szCs w:val="24"/>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vAlign w:val="center"/>
          </w:tcPr>
          <w:p>
            <w:pPr>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安全耐久</w:t>
            </w:r>
          </w:p>
        </w:tc>
        <w:tc>
          <w:tcPr>
            <w:tcW w:w="1900" w:type="dxa"/>
            <w:vAlign w:val="center"/>
          </w:tcPr>
          <w:p>
            <w:pPr>
              <w:spacing w:before="0" w:after="3" w:lineRule="auto"/>
              <w:jc w:val="center"/>
            </w:pPr>
            <w:r>
              <w:rPr>
                <w:rFonts w:hint="eastAsia" w:ascii="宋体" w:hAnsi="宋体"/>
                <w:bCs/>
                <w:color w:val="000000"/>
                <w:sz w:val="24"/>
                <w:szCs w:val="24"/>
              </w:rPr>
              <w:t>健康舒适</w:t>
            </w:r>
          </w:p>
        </w:tc>
        <w:tc>
          <w:tcPr>
            <w:tcW w:w="1900" w:type="dxa"/>
            <w:vAlign w:val="center"/>
          </w:tcPr>
          <w:p>
            <w:pPr>
              <w:spacing w:before="0" w:after="3" w:lineRule="auto"/>
              <w:jc w:val="center"/>
            </w:pPr>
            <w:r>
              <w:rPr>
                <w:rFonts w:hint="eastAsia" w:ascii="宋体" w:hAnsi="宋体"/>
                <w:bCs/>
                <w:color w:val="000000"/>
                <w:sz w:val="24"/>
                <w:szCs w:val="24"/>
              </w:rPr>
              <w:t>生活便利</w:t>
            </w:r>
          </w:p>
        </w:tc>
        <w:tc>
          <w:tcPr>
            <w:tcW w:w="1900" w:type="dxa"/>
            <w:vAlign w:val="center"/>
          </w:tcPr>
          <w:p>
            <w:pPr>
              <w:spacing w:before="0" w:after="3" w:lineRule="auto"/>
              <w:jc w:val="center"/>
            </w:pPr>
            <w:r>
              <w:rPr>
                <w:rFonts w:hint="eastAsia" w:ascii="宋体" w:hAnsi="宋体"/>
                <w:bCs/>
                <w:color w:val="000000"/>
                <w:sz w:val="24"/>
                <w:szCs w:val="24"/>
              </w:rPr>
              <w:t>资源节约</w:t>
            </w:r>
          </w:p>
        </w:tc>
        <w:tc>
          <w:tcPr>
            <w:tcW w:w="1900" w:type="dxa"/>
            <w:vAlign w:val="center"/>
          </w:tcPr>
          <w:p>
            <w:pPr>
              <w:spacing w:before="0" w:after="3" w:lineRule="auto"/>
              <w:jc w:val="center"/>
            </w:pPr>
            <w:r>
              <w:rPr>
                <w:rFonts w:hint="eastAsia" w:ascii="宋体" w:hAnsi="宋体"/>
                <w:bCs/>
                <w:color w:val="000000"/>
                <w:sz w:val="24"/>
                <w:szCs w:val="24"/>
              </w:rPr>
              <w:t>环境宜居</w:t>
            </w:r>
          </w:p>
        </w:tc>
        <w:tc>
          <w:tcPr>
            <w:tcW w:w="1000" w:type="dxa"/>
            <w:vAlign w:val="center"/>
          </w:tcPr>
          <w:p>
            <w:pPr>
              <w:jc w:val="center"/>
            </w:pPr>
            <w:r>
              <w:rPr>
                <w:rFonts w:hint="eastAsia" w:ascii="宋体" w:hAnsi="宋体"/>
                <w:bCs/>
                <w:color w:val="000000"/>
                <w:sz w:val="24"/>
                <w:szCs w:val="24"/>
              </w:rPr>
              <w:t>提高与创新</w:t>
            </w:r>
          </w:p>
        </w:tc>
      </w:tr>
      <w:tr>
        <w:tc>
          <w:tcPr>
            <w:tcW w:w="1" w:type="dxa"/>
            <w:vAlign w:val="center"/>
          </w:tcPr>
          <w:p>
            <w:pPr>
              <w:spacing w:before="0" w:after="3" w:lineRule="auto"/>
              <w:jc w:val="center"/>
            </w:pPr>
            <w:r>
              <w:rPr>
                <w:rFonts w:hint="eastAsia" w:ascii="宋体" w:hAnsi="宋体"/>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 w:type="dxa"/>
            <w:vAlign w:val="center"/>
          </w:tcPr>
          <w:p>
            <w:pPr>
              <w:spacing w:before="0" w:after="3" w:lineRule="auto"/>
              <w:jc w:val="center"/>
            </w:pPr>
            <w:r>
              <w:rPr>
                <w:rFonts w:hint="eastAsia" w:ascii="宋体" w:hAnsi="宋体"/>
                <w:bCs/>
                <w:color w:val="000000"/>
                <w:sz w:val="24"/>
                <w:szCs w:val="24"/>
              </w:rPr>
              <w:t>100</w:t>
            </w:r>
          </w:p>
        </w:tc>
      </w:tr>
      <w:tr>
        <w:tc>
          <w:tcPr>
            <w:tcW w:w="1400" w:type="dxa"/>
            <w:vAlign w:val="center"/>
          </w:tcPr>
          <w:p>
            <w:pPr>
              <w:spacing w:before="0" w:after="3" w:lineRule="auto"/>
              <w:jc w:val="center"/>
            </w:pPr>
            <w:r>
              <w:rPr>
                <w:rFonts w:hint="eastAsia" w:ascii="宋体" w:hAnsi="宋体"/>
                <w:bCs/>
                <w:color w:val="000000"/>
                <w:sz w:val="24"/>
                <w:szCs w:val="24"/>
              </w:rPr>
              <w:t>自评得分</w:t>
            </w:r>
          </w:p>
        </w:tc>
        <w:tc>
          <w:tcPr>
            <w:tcW w:w="1200" w:type="dxa"/>
            <w:vAlign w:val="center"/>
          </w:tcPr>
          <w:p>
            <w:pPr>
              <w:spacing w:before="0" w:after="3" w:lineRule="auto"/>
              <w:jc w:val="center"/>
            </w:pPr>
            <w:r>
              <w:rPr>
                <w:rFonts w:hint="eastAsia" w:ascii="宋体" w:hAnsi="宋体"/>
                <w:bCs/>
                <w:color w:val="000000"/>
                <w:sz w:val="24"/>
                <w:szCs w:val="24"/>
              </w:rPr>
              <w:t>400</w:t>
            </w:r>
          </w:p>
        </w:tc>
        <w:tc>
          <w:tcPr>
            <w:tcW w:w="1200" w:type="dxa"/>
            <w:vAlign w:val="center"/>
          </w:tcPr>
          <w:p>
            <w:pPr>
              <w:spacing w:before="0" w:after="3" w:lineRule="auto"/>
              <w:jc w:val="center"/>
            </w:pPr>
            <w:r>
              <w:rPr>
                <w:rFonts w:hint="eastAsia" w:ascii="宋体" w:hAnsi="宋体"/>
                <w:bCs/>
                <w:color w:val="000000"/>
                <w:sz w:val="24"/>
                <w:szCs w:val="24"/>
              </w:rPr>
              <w:t>36.0</w:t>
            </w:r>
          </w:p>
        </w:tc>
        <w:tc>
          <w:tcPr>
            <w:tcW w:w="1200" w:type="dxa"/>
            <w:vAlign w:val="center"/>
          </w:tcPr>
          <w:p>
            <w:pPr>
              <w:spacing w:before="0" w:after="3" w:lineRule="auto"/>
              <w:jc w:val="center"/>
            </w:pPr>
            <w:r>
              <w:rPr>
                <w:rFonts w:hint="eastAsia" w:ascii="宋体" w:hAnsi="宋体"/>
                <w:bCs/>
                <w:color w:val="000000"/>
                <w:sz w:val="24"/>
                <w:szCs w:val="24"/>
              </w:rPr>
              <w:t>33.0</w:t>
            </w:r>
          </w:p>
        </w:tc>
        <w:tc>
          <w:tcPr>
            <w:tcW w:w="1200" w:type="dxa"/>
            <w:vAlign w:val="center"/>
          </w:tcPr>
          <w:p>
            <w:pPr>
              <w:spacing w:before="0" w:after="3" w:lineRule="auto"/>
              <w:jc w:val="center"/>
            </w:pPr>
            <w:r>
              <w:rPr>
                <w:rFonts w:hint="eastAsia" w:ascii="宋体" w:hAnsi="宋体"/>
                <w:bCs/>
                <w:color w:val="000000"/>
                <w:sz w:val="24"/>
                <w:szCs w:val="24"/>
              </w:rPr>
              <w:t>21.0</w:t>
            </w:r>
          </w:p>
        </w:tc>
        <w:tc>
          <w:tcPr>
            <w:tcW w:w="1400" w:type="dxa"/>
            <w:vAlign w:val="center"/>
          </w:tcPr>
          <w:p>
            <w:pPr>
              <w:spacing w:before="0" w:after="3" w:lineRule="auto"/>
              <w:jc w:val="center"/>
            </w:pPr>
            <w:r>
              <w:rPr>
                <w:rFonts w:hint="eastAsia" w:ascii="宋体" w:hAnsi="宋体"/>
                <w:bCs/>
                <w:color w:val="000000"/>
                <w:sz w:val="24"/>
                <w:szCs w:val="24"/>
              </w:rPr>
              <w:t>65.0</w:t>
            </w:r>
          </w:p>
        </w:tc>
        <w:tc>
          <w:tcPr>
            <w:tcW w:w="1200" w:type="dxa"/>
            <w:vAlign w:val="center"/>
          </w:tcPr>
          <w:p>
            <w:pPr>
              <w:spacing w:before="0" w:after="3" w:lineRule="auto"/>
              <w:jc w:val="center"/>
            </w:pPr>
            <w:r>
              <w:rPr>
                <w:rFonts w:hint="eastAsia" w:ascii="宋体" w:hAnsi="宋体"/>
                <w:bCs/>
                <w:color w:val="000000"/>
                <w:sz w:val="24"/>
                <w:szCs w:val="24"/>
              </w:rPr>
              <w:t>32.0</w:t>
            </w:r>
          </w:p>
        </w:tc>
        <w:tc>
          <w:tcPr>
            <w:tcW w:w="1" w:type="dxa"/>
            <w:vAlign w:val="center"/>
          </w:tcPr>
          <w:p>
            <w:pPr>
              <w:spacing w:before="0" w:after="3" w:lineRule="auto"/>
              <w:jc w:val="center"/>
            </w:pPr>
            <w:r>
              <w:rPr>
                <w:rFonts w:hint="eastAsia" w:ascii="宋体" w:hAnsi="宋体"/>
                <w:bCs/>
                <w:color w:val="000000"/>
                <w:sz w:val="24"/>
                <w:szCs w:val="24"/>
              </w:rPr>
              <w:t>30.0</w:t>
            </w:r>
          </w:p>
        </w:tc>
      </w:tr>
    </w:tbl>
    <w:p>
      <w:pPr>
        <w:jc w:val="center"/>
      </w:pPr>
      <w:r>
        <w:rPr>
          <w:rFonts w:hint="eastAsia" w:ascii="宋体" w:hAnsi="宋体"/>
          <w:bCs/>
          <w:color w:val="000000"/>
          <w:sz w:val="24"/>
          <w:szCs w:val="24"/>
        </w:rPr>
        <w:t>总得分：Q=（Q0+Q1+Q2+Q3+Q4+Q5+QA）/10=61.7</w:t>
      </w:r>
    </w:p>
    <w:p>
      <w:pPr>
        <w:jc w:val="center"/>
      </w:pPr>
      <w:r>
        <w:rPr>
          <w:rFonts w:hint="eastAsia" w:ascii="宋体" w:hAnsi="宋体"/>
          <w:b/>
          <w:bCs/>
          <w:color w:val="000000"/>
          <w:sz w:val="28"/>
          <w:szCs w:val="28"/>
        </w:rPr>
        <w:t/>
      </w:r>
    </w:p>
    <w:p>
      <w:r>
        <w:rPr>
          <w:rFonts w:hint="eastAsia" w:ascii="宋体" w:hAnsi="宋体"/>
          <w:b/>
          <w:bCs/>
          <w:color w:val="000000"/>
          <w:sz w:val="28"/>
          <w:szCs w:val="28"/>
        </w:rPr>
        <w:t>二、项目情况</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4053289"/>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4053289"/>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4933328" cy="4200004"/>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4933328" cy="4200004"/>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left"/>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4.1.9</w:t>
            </w:r>
          </w:p>
        </w:tc>
        <w:tc>
          <w:tcPr>
            <w:tcW w:w="5000" w:type="dxa"/>
            <w:vAlign w:val="center"/>
          </w:tcPr>
          <w:p>
            <w:pPr>
              <w:spacing w:before="0" w:after="3" w:lineRule="auto"/>
              <w:jc w:val="left"/>
            </w:pPr>
            <w:r>
              <w:rPr>
                <w:rFonts w:hint="eastAsia" w:ascii="宋体" w:hAnsi="宋体"/>
                <w:bCs/>
                <w:color w:val="000000"/>
                <w:sz w:val="22"/>
                <w:szCs w:val="22"/>
              </w:rPr>
              <w:t>安全耐久相关技术要求应符合现行强制性工程建设规范《工程结构通用规范》GB 55001、《建筑与市政工程抗震通用规范》GB55002、《建筑与市政地基基础通用规范》GB 55003、《组合结构通用规范》GB 55004、《木结构通用规范》GB 55005、《钢结构通用规范》GB 55006、《砌体结构通用规范》GB 55007、《混凝土结构通用规范》GB 55008、《燃气工程项目规范》GB 55009、《供热工程项目规范》GB 55010、《建筑环境通用规范》GB 55016、《建筑给水排水与节水通用规范》GB 55020、《民用建筑通用规范》GB 55031、《建筑防火通用规范》GB 55037等的规定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36.0</w:t>
            </w:r>
          </w:p>
        </w:tc>
      </w:tr>
    </w:tbl>
    <w:sectPr>
      <w:pgSz w:w="11907" w:h="16839" w:code="9"/>
      <w:pgMar w:top="500" w:right="1440" w:bottom="100" w:left="1440"/>
    </w:sectPr>
  </w:body>
</w:document>
</file>

<file path=word/settings.xml><?xml version="1.0" encoding="utf-8"?>
<w:setting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