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清源流生·低耗轻筑绿色建筑绿色建材应用清单（汇报专用）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核心说明：本项目绿色建材应用总量占建筑材料总用量75%，远超≥70%的要求，所有必选类绿色建材均通过中国绿色建材产品认证，贴合“低耗、轻筑、生态”核心理念。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建材类别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具体建材名称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应用部位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应用</w:t>
            </w:r>
            <w:r>
              <w:rPr>
                <w:rFonts w:eastAsia="等线" w:ascii="Arial" w:cs="Arial" w:hAnsi="Arial"/>
                <w:sz w:val="22"/>
              </w:rPr>
              <w:t>比例（占总建材量）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绿色认证情况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核心技术参数/优势</w:t>
            </w:r>
          </w:p>
        </w:tc>
      </w:tr>
      <w:tr>
        <w:tc>
          <w:tcPr>
            <w:tcW w:w="138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主体结构建材（合计35%）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再生骨料混凝土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基础、</w:t>
            </w:r>
            <w:r>
              <w:rPr>
                <w:rFonts w:eastAsia="等线" w:ascii="Arial" w:cs="Arial" w:hAnsi="Arial"/>
                <w:sz w:val="22"/>
              </w:rPr>
              <w:t>梁、板、柱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18%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绿色建材认证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再生骨料掺量≥30%</w:t>
            </w:r>
            <w:r>
              <w:rPr>
                <w:rFonts w:eastAsia="等线" w:ascii="Arial" w:cs="Arial" w:hAnsi="Arial"/>
                <w:sz w:val="22"/>
              </w:rPr>
              <w:t>，减少原生砂石开采40%，降低碳排放25%</w:t>
            </w:r>
          </w:p>
        </w:tc>
      </w:tr>
      <w:tr>
        <w:tc>
          <w:tcPr>
            <w:tcW w:w="138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Q355ND绿色认证钢材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主体钢结构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10%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绿色建材认证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屈服强度355MPa，低温韧性优异，较传统Q235钢材</w:t>
            </w:r>
            <w:r>
              <w:rPr>
                <w:rFonts w:eastAsia="等线" w:ascii="Arial" w:cs="Arial" w:hAnsi="Arial"/>
                <w:sz w:val="22"/>
              </w:rPr>
              <w:t>减少用钢量22%</w:t>
            </w:r>
          </w:p>
        </w:tc>
      </w:tr>
      <w:tr>
        <w:tc>
          <w:tcPr>
            <w:tcW w:w="138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预制装配式构件（叠合板、楼梯、墙板）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楼板、楼梯、墙板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7%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绿色建材认证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装配率55%，工厂化生产，减少现场湿作业，建筑垃圾减排60</w:t>
            </w:r>
            <w:r>
              <w:rPr>
                <w:rFonts w:eastAsia="等线" w:ascii="Arial" w:cs="Arial" w:hAnsi="Arial"/>
                <w:sz w:val="22"/>
              </w:rPr>
              <w:t>%以上</w:t>
            </w:r>
          </w:p>
        </w:tc>
      </w:tr>
      <w:tr>
        <w:tc>
          <w:tcPr>
            <w:tcW w:w="138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围护结构建材（合计25%）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岩棉板、真空绝热板（VIP）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外墙、屋面保温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9%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绿色建材认证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VIP导热</w:t>
            </w:r>
            <w:r>
              <w:rPr>
                <w:rFonts w:eastAsia="等线" w:ascii="Arial" w:cs="Arial" w:hAnsi="Arial"/>
                <w:sz w:val="22"/>
              </w:rPr>
              <w:t>系数≤0.008W/(m·K)，A级不燃、无甲醛，较传统EPS板节能75%</w:t>
            </w:r>
          </w:p>
        </w:tc>
      </w:tr>
      <w:tr>
        <w:tc>
          <w:tcPr>
            <w:tcW w:w="138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蒸压加气混凝土砌块（</w:t>
            </w:r>
            <w:r>
              <w:rPr>
                <w:rFonts w:eastAsia="等线" w:ascii="Arial" w:cs="Arial" w:hAnsi="Arial"/>
                <w:sz w:val="22"/>
              </w:rPr>
              <w:t>AAC）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内外墙体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8%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绿色建材认证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干密度≤600kg/m³，导热系数≤0.18W/(m·K)，100%</w:t>
            </w:r>
            <w:r>
              <w:rPr>
                <w:rFonts w:eastAsia="等线" w:ascii="Arial" w:cs="Arial" w:hAnsi="Arial"/>
                <w:sz w:val="22"/>
              </w:rPr>
              <w:t>利用工业固废生产</w:t>
            </w:r>
          </w:p>
        </w:tc>
      </w:tr>
      <w:tr>
        <w:tc>
          <w:tcPr>
            <w:tcW w:w="138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三玻两腔Low-E中空玻璃+断桥铝型材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外窗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8%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绿色建材认证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遮阳系数≤0.</w:t>
            </w:r>
            <w:r>
              <w:rPr>
                <w:rFonts w:eastAsia="等线" w:ascii="Arial" w:cs="Arial" w:hAnsi="Arial"/>
                <w:sz w:val="22"/>
              </w:rPr>
              <w:t>3，传热系数≤1.8W/(m²·K)，气密性8级，降低空调能耗3</w:t>
            </w:r>
            <w:r>
              <w:rPr>
                <w:rFonts w:eastAsia="等线" w:ascii="Arial" w:cs="Arial" w:hAnsi="Arial"/>
                <w:sz w:val="22"/>
              </w:rPr>
              <w:t>0%</w:t>
            </w:r>
          </w:p>
        </w:tc>
      </w:tr>
      <w:tr>
        <w:tc>
          <w:tcPr>
            <w:tcW w:w="138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装饰装修建材（合计10%）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石膏基</w:t>
            </w:r>
            <w:r>
              <w:rPr>
                <w:rFonts w:eastAsia="等线" w:ascii="Arial" w:cs="Arial" w:hAnsi="Arial"/>
                <w:sz w:val="22"/>
              </w:rPr>
              <w:t>预拌砂浆、水性环保涂料、再生橡胶地板、竹纤维板材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内墙、地面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6%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绿色建材认证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涂料VOC含量≤10g/L，无甲醛；竹材可再生，再生橡胶源自废旧</w:t>
            </w:r>
            <w:r>
              <w:rPr>
                <w:rFonts w:eastAsia="等线" w:ascii="Arial" w:cs="Arial" w:hAnsi="Arial"/>
                <w:sz w:val="22"/>
              </w:rPr>
              <w:t>轮胎</w:t>
            </w:r>
          </w:p>
        </w:tc>
      </w:tr>
      <w:tr>
        <w:tc>
          <w:tcPr>
            <w:tcW w:w="138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装配式轻钢龙骨+矿棉吸音板、绿色轻质隔墙板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吊顶、隔墙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4%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绿色建材认证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模块化安装、可拆解复用，材料回收率85%，</w:t>
            </w:r>
            <w:r>
              <w:rPr>
                <w:rFonts w:eastAsia="等线" w:ascii="Arial" w:cs="Arial" w:hAnsi="Arial"/>
                <w:sz w:val="22"/>
              </w:rPr>
              <w:t>无需抹灰减少施工污染</w:t>
            </w:r>
          </w:p>
        </w:tc>
      </w:tr>
      <w:tr>
        <w:tc>
          <w:tcPr>
            <w:tcW w:w="1380" w:type="dxa"/>
            <w:v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设备与附属建材（合计5</w:t>
            </w:r>
            <w:r>
              <w:rPr>
                <w:rFonts w:eastAsia="等线" w:ascii="Arial" w:cs="Arial" w:hAnsi="Arial"/>
                <w:sz w:val="22"/>
              </w:rPr>
              <w:t>%）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PPR环保给水管、HDPE高密度聚乙烯</w:t>
            </w:r>
            <w:r>
              <w:rPr>
                <w:rFonts w:eastAsia="等线" w:ascii="Arial" w:cs="Arial" w:hAnsi="Arial"/>
                <w:sz w:val="22"/>
              </w:rPr>
              <w:t>排水管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给排水系统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3%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绿色建材认证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耐腐蚀、无异味、使用寿命长，100%可回收再利用</w:t>
            </w:r>
          </w:p>
        </w:tc>
      </w:tr>
      <w:tr>
        <w:tc>
          <w:tcPr>
            <w:tcW w:w="1380" w:type="dxa"/>
            <w:v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低烟无卤阻燃</w:t>
            </w:r>
            <w:r>
              <w:rPr>
                <w:rFonts w:eastAsia="等线" w:ascii="Arial" w:cs="Arial" w:hAnsi="Arial"/>
                <w:sz w:val="22"/>
              </w:rPr>
              <w:t>环保型电缆、电线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电气系统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2%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绿色建材认证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火灾时无有毒烟气释放，符合绿色建筑健康环保要求</w:t>
            </w:r>
          </w:p>
        </w:tc>
      </w:tr>
      <w:tr>
        <w:tc>
          <w:tcPr>
            <w:tcW w:w="4140" w:type="dxa"/>
            <w:hMerge w:val="restart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合计</w:t>
            </w:r>
          </w:p>
        </w:tc>
        <w:tc>
          <w:tcPr>
            <w:tcW w:w="138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hMerge w:val="continue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75%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所有必选</w:t>
            </w:r>
            <w:r>
              <w:rPr>
                <w:rFonts w:eastAsia="等线" w:ascii="Arial" w:cs="Arial" w:hAnsi="Arial"/>
                <w:sz w:val="22"/>
              </w:rPr>
              <w:t>类建材100%认证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全生命周期碳排放降低3</w:t>
            </w:r>
            <w:r>
              <w:rPr>
                <w:rFonts w:eastAsia="等线" w:ascii="Arial" w:cs="Arial" w:hAnsi="Arial"/>
                <w:sz w:val="22"/>
              </w:rPr>
              <w:t>0%，满足绿色建筑三星级及超低能耗标准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补充说明：1. 应用比例均按建筑材料总用量核算，精准达标75%；2. 所有建材均符合GB6566、GB18583等国家标准，室内空气质量达标。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2026-03-26T04:25:53Z</dcterms:created>
  <dc:creator>Apache POI</dc:creator>
</cp:coreProperties>
</file>