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南昌市红谷滩区体育文化中心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86327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86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业主单位：江西省某建筑有限公司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设计单位：江西省某设计院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报告日期：2026年3月22日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项目名称：南昌市红谷滩区体育文化中心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围护结构提高%或负荷降低57.25%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53.8%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全寿命期单位建筑面积碳排放强为43.12kgCO2/（m2·a）减碳率34.5%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1052.0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