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工业回响-存量提质背景下的工业遗产绿色建筑改造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项目名称：工业回响-存量提质背景下的工业遗产绿色建筑改造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