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红仓·完美文创公园改造项目工程地质勘查报告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勘查编号</w:t>
      </w:r>
      <w:r>
        <w:rPr>
          <w:rFonts w:eastAsia="等线" w:ascii="Arial" w:cs="Arial" w:hAnsi="Arial"/>
          <w:sz w:val="22"/>
        </w:rPr>
        <w:t>：CDHD-2024-017</w:t>
        <w:br/>
      </w:r>
      <w:r>
        <w:rPr>
          <w:rFonts w:eastAsia="等线" w:ascii="Arial" w:cs="Arial" w:hAnsi="Arial"/>
          <w:b w:val="true"/>
          <w:sz w:val="22"/>
        </w:rPr>
        <w:t>勘查阶段</w:t>
      </w:r>
      <w:r>
        <w:rPr>
          <w:rFonts w:eastAsia="等线" w:ascii="Arial" w:cs="Arial" w:hAnsi="Arial"/>
          <w:sz w:val="22"/>
        </w:rPr>
        <w:t>：详细勘查</w:t>
        <w:br/>
      </w:r>
      <w:r>
        <w:rPr>
          <w:rFonts w:eastAsia="等线" w:ascii="Arial" w:cs="Arial" w:hAnsi="Arial"/>
          <w:b w:val="true"/>
          <w:sz w:val="22"/>
        </w:rPr>
        <w:t>项目负责人</w:t>
      </w:r>
      <w:r>
        <w:rPr>
          <w:rFonts w:eastAsia="等线" w:ascii="Arial" w:cs="Arial" w:hAnsi="Arial"/>
          <w:sz w:val="22"/>
        </w:rPr>
        <w:t>：张 XX</w:t>
        <w:br/>
      </w:r>
      <w:r>
        <w:rPr>
          <w:rFonts w:eastAsia="等线" w:ascii="Arial" w:cs="Arial" w:hAnsi="Arial"/>
          <w:b w:val="true"/>
          <w:sz w:val="22"/>
        </w:rPr>
        <w:t>勘查单位</w:t>
      </w:r>
      <w:r>
        <w:rPr>
          <w:rFonts w:eastAsia="等线" w:ascii="Arial" w:cs="Arial" w:hAnsi="Arial"/>
          <w:sz w:val="22"/>
        </w:rPr>
        <w:t>：成都华地工程勘察设计有限公司</w:t>
        <w:br/>
      </w:r>
      <w:r>
        <w:rPr>
          <w:rFonts w:eastAsia="等线" w:ascii="Arial" w:cs="Arial" w:hAnsi="Arial"/>
          <w:b w:val="true"/>
          <w:sz w:val="22"/>
        </w:rPr>
        <w:t>提交日期</w:t>
      </w:r>
      <w:r>
        <w:rPr>
          <w:rFonts w:eastAsia="等线" w:ascii="Arial" w:cs="Arial" w:hAnsi="Arial"/>
          <w:sz w:val="22"/>
        </w:rPr>
        <w:t>：2024 年 5 月 12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项目基本信息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本项目为红仓・完美文创公园改造项目，位于成都市成华区二仙桥街道，场地东北侧毗邻二仙桥公园，南侧为成熟居住社区。项目总用地面积 37701㎡，拟对场地内原有 6 栋 2 层红砖工业厂房进行功能改造，配套景观提升与绿色系统建设，无大规模加层与深基坑开挖需求。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本次勘查旨在查明场地工程地质条件，为项目改造的地基基础设计、施工提供地质依据，同时评价原有建筑地基的可利用性。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勘查工作概述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本次勘查严格执行《岩土工程勘察规范》（GB50021-2001，2009 年版）、《建筑地基基础设计规范》（GB50007-2011）等规范，完成工作量如下：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勘探孔布置：共布置 12 个控制性勘探孔，孔距 25-35m，覆盖整个场地；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钻探工作：总钻探进尺 126.8m，最大孔深 12.0m，满足改造项目的勘查深度要求；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原位测试：完成标准贯入试验（SPT）24 次，重型动力触探试验 8 次；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室内试验：采集原状土样 18 组，进行土工试验，获取岩土物理力学参数。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二、场地工程地质条件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2.1 地形地貌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项目场地位于成都平原东部台地区域，整体地形平坦开阔，地面标高介于 502.3~504.1m 之间，最大高差 1.8m，地形坡度约 1‰，属于典型的平原冲洪积地貌。场地为原有工业用地，经多年平整，地形规整，无明显起伏，无沟谷、陡坎等不良地形。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2.2 地层岩性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经钻探揭露，场地内地层为第四系全新统冲洪积层（Q4al+pl），自上而下可分为 4 个工程地质层，各层特征如下：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层号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土层名称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层厚 (m)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层顶埋深 (m)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承载力特征值 fak (kPa)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压缩模量 Es (MPa)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岩土特征描述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①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素填土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1.6~2.8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褐黄色，主要由粉质黏土、碎石组成，为原有工业场地回填土，堆填时间超过 30 年，已完成自重固结，均匀性较好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粉质黏土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2.2~3.5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1.6~2.8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褐黄色，可塑～硬塑状态，干强度中等，韧性中等，无摇振反应，切面光滑，为场地主要的浅部持力层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③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1.0~1.8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4.5~5.6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浅灰色，稍密～中密状态，摇振反应中等，局部夹少量细砂薄层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④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卵石层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未揭穿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5.8~7.2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35.0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杂色，中密～密实状态，卵石含量约 65%\</w:t>
            </w:r>
            <w:r>
              <w:rPr>
                <w:rFonts w:eastAsia="等线" w:ascii="Arial" w:cs="Arial" w:hAnsi="Arial"/>
                <w:sz w:val="22"/>
                <w:u w:val="single"/>
              </w:rPr>
              <w:t>75%，粒径 2\</w:t>
            </w:r>
            <w:r>
              <w:rPr>
                <w:rFonts w:eastAsia="等线" w:ascii="Arial" w:cs="Arial" w:hAnsi="Arial"/>
                <w:sz w:val="22"/>
              </w:rPr>
              <w:t>8cm，充填物为中粗砂，为区域典型的下伏稳定地层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2.3 地质构造与场地稳定性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项目场地位于成都平原坳陷区，区域地质构造稳定，距离龙门山活动断裂带约 60km，距离蒲江 - 新津断裂带约 45km，场地内未发现断裂构造、褶皱等不良地质构造。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经调查，场地及周边范围内无滑坡、崩塌、泥石流、岩溶、土洞等不良地质作用，也无地下采空区、古墓等人工地下隐患，场地整体稳定性良好，适宜工程建设。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三、水文地质条件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3.1 地下水类型与埋深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场地内地下水为松散岩类孔隙潜水，主要赋存于下部卵石层中，补给来源主要为大气降水与区域地下水径流。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勘察期间测得地下水稳定水位埋深为 3.2\</w:t>
      </w:r>
      <w:r>
        <w:rPr>
          <w:rFonts w:eastAsia="等线" w:ascii="Arial" w:cs="Arial" w:hAnsi="Arial"/>
          <w:sz w:val="22"/>
          <w:u w:val="single"/>
        </w:rPr>
        <w:t>3.8m，对应标高 498.7\</w:t>
      </w:r>
      <w:r>
        <w:rPr>
          <w:rFonts w:eastAsia="等线" w:ascii="Arial" w:cs="Arial" w:hAnsi="Arial"/>
          <w:sz w:val="22"/>
        </w:rPr>
        <w:t>499.5m；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区域地下水年变化幅度约 1.0~1.5m，历史最高水位埋深约 2.0m。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3.2 地下水腐蚀性评价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根据水样测试结果，场地地下水 pH 值为 7.2，对混凝土结构的腐蚀性等级为</w:t>
      </w:r>
      <w:r>
        <w:rPr>
          <w:rFonts w:eastAsia="等线" w:ascii="Arial" w:cs="Arial" w:hAnsi="Arial"/>
          <w:b w:val="true"/>
          <w:sz w:val="22"/>
        </w:rPr>
        <w:t>微腐蚀性</w:t>
      </w:r>
      <w:r>
        <w:rPr>
          <w:rFonts w:eastAsia="等线" w:ascii="Arial" w:cs="Arial" w:hAnsi="Arial"/>
          <w:sz w:val="22"/>
        </w:rPr>
        <w:t>，对钢筋混凝土结构中钢筋的腐蚀性等级为</w:t>
      </w:r>
      <w:r>
        <w:rPr>
          <w:rFonts w:eastAsia="等线" w:ascii="Arial" w:cs="Arial" w:hAnsi="Arial"/>
          <w:b w:val="true"/>
          <w:sz w:val="22"/>
        </w:rPr>
        <w:t>微腐蚀性</w:t>
      </w:r>
      <w:r>
        <w:rPr>
          <w:rFonts w:eastAsia="等线" w:ascii="Arial" w:cs="Arial" w:hAnsi="Arial"/>
          <w:sz w:val="22"/>
        </w:rPr>
        <w:t>，在长期浸水条件下对钢结构也为微腐蚀性，无需采取特殊防腐措施。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3.3 场地水、土的特殊性质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经测试，场地内土的渗透系数为 1.2×10⁻⁵cm/s，无湿陷性、膨胀性、冻胀性等特殊岩土性质，也无液化土层，不存在特殊土的工程问题。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四、场地地震效应评价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根据《中国地震动参数区划图》（GB18306-2015）与《建筑抗震设计规范》（GB50011-2010，2016 年版），项目场地的抗震设防参数如下：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抗震设防烈度：7 度；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设计基本地震加速度：0.10g；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设计地震分组：第二组；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场地类别：Ⅱ 类场地，属于对建筑抗震有利的地段；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特征周期：0.40s；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液化判别：经判别，场地内无饱和砂土、粉土液化层，不存在地震液化问题。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五、原有建筑地基评价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本项目为旧工业建筑改造项目，原有建筑为 2 层红砖厂房，建成于上世纪 80 年代，本次勘查对原有建筑的地基进行了专项评价：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原有建筑的基础埋深约 1.8m，持力层为②层粉质黏土，该层承载力特征值为 180kPa，原有建筑的基底压力约为 80kPa，远小于土层承载力；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经多年使用，原有建筑无明显沉降、开裂等不均匀沉降问题，地基稳定性良好；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本次改造仅为内部功能调整，无大规模荷载增加，改造后基底压力增量小于 20kPa，原有地基承载力完全满足改造后的荷载要求，原有基础可直接利用，无需进行地基加固处理。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六、地基基础方案建议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结合场地地质条件与项目改造需求，提出以下地基基础方案建议：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原有建筑改造</w:t>
      </w:r>
      <w:r>
        <w:rPr>
          <w:rFonts w:eastAsia="等线" w:ascii="Arial" w:cs="Arial" w:hAnsi="Arial"/>
          <w:sz w:val="22"/>
        </w:rPr>
        <w:t>：保留原有基础，无需地基处理，局部新增设备基础可采用浅基础，以②层粉质黏土为持力层；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新增景观工程</w:t>
      </w:r>
      <w:r>
        <w:rPr>
          <w:rFonts w:eastAsia="等线" w:ascii="Arial" w:cs="Arial" w:hAnsi="Arial"/>
          <w:sz w:val="22"/>
        </w:rPr>
        <w:t>：景观构筑物、小型配套设施可采用素填土或粉质黏土作为持力层，无需特殊处理；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施工降水建议</w:t>
      </w:r>
      <w:r>
        <w:rPr>
          <w:rFonts w:eastAsia="等线" w:ascii="Arial" w:cs="Arial" w:hAnsi="Arial"/>
          <w:sz w:val="22"/>
        </w:rPr>
        <w:t>：项目无深基坑开挖，仅局部浅开挖时，可采用明沟排水即可满足施工要求，无需大规模降水；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抗浮验算</w:t>
      </w:r>
      <w:r>
        <w:rPr>
          <w:rFonts w:eastAsia="等线" w:ascii="Arial" w:cs="Arial" w:hAnsi="Arial"/>
          <w:sz w:val="22"/>
        </w:rPr>
        <w:t>：项目建筑自重较大，地下水浮力远小于建筑自重，无需采取抗浮措施。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七、结论与建议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7.1 结论</w:t>
      </w:r>
      <w:bookmarkEnd w:id="15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场地地形平坦，地质构造稳定，无不良地质作用，适宜本项目的建设；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场地内各土层分布稳定，承载力满足项目改造的荷载要求，原有建筑地基可直接利用；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地下水对建筑材料无腐蚀性，场地抗震条件良好，无地震液化问题；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场地工程地质条件良好，不存在制约项目建设的重大地质问题。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7.2 建议</w:t>
      </w:r>
      <w:bookmarkEnd w:id="16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施工前应进一步清理场地内的原有地下管线，避免施工对管线造成破坏；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局部回填土不均匀区域，施工时可进行局部压实处理，避免小型构筑物的不均匀沉降；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雨季施工时应做好场地排水，避免雨水浸泡地基土，影响地基承载力。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130333">
    <w:lvl>
      <w:start w:val="1"/>
      <w:numFmt w:val="decimal"/>
      <w:suff w:val="tab"/>
      <w:lvlText w:val="%1."/>
      <w:rPr>
        <w:color w:val="3370ff"/>
      </w:rPr>
    </w:lvl>
  </w:abstractNum>
  <w:abstractNum w:abstractNumId="1130334">
    <w:lvl>
      <w:start w:val="2"/>
      <w:numFmt w:val="decimal"/>
      <w:suff w:val="tab"/>
      <w:lvlText w:val="%1."/>
      <w:rPr>
        <w:color w:val="3370ff"/>
      </w:rPr>
    </w:lvl>
  </w:abstractNum>
  <w:abstractNum w:abstractNumId="1130335">
    <w:lvl>
      <w:start w:val="3"/>
      <w:numFmt w:val="decimal"/>
      <w:suff w:val="tab"/>
      <w:lvlText w:val="%1."/>
      <w:rPr>
        <w:color w:val="3370ff"/>
      </w:rPr>
    </w:lvl>
  </w:abstractNum>
  <w:abstractNum w:abstractNumId="1130336">
    <w:lvl>
      <w:start w:val="4"/>
      <w:numFmt w:val="decimal"/>
      <w:suff w:val="tab"/>
      <w:lvlText w:val="%1."/>
      <w:rPr>
        <w:color w:val="3370ff"/>
      </w:rPr>
    </w:lvl>
  </w:abstractNum>
  <w:abstractNum w:abstractNumId="1130337">
    <w:lvl>
      <w:numFmt w:val="bullet"/>
      <w:suff w:val="tab"/>
      <w:lvlText w:val="•"/>
      <w:rPr>
        <w:color w:val="3370ff"/>
      </w:rPr>
    </w:lvl>
  </w:abstractNum>
  <w:abstractNum w:abstractNumId="1130338">
    <w:lvl>
      <w:numFmt w:val="bullet"/>
      <w:suff w:val="tab"/>
      <w:lvlText w:val="•"/>
      <w:rPr>
        <w:color w:val="3370ff"/>
      </w:rPr>
    </w:lvl>
  </w:abstractNum>
  <w:abstractNum w:abstractNumId="1130339">
    <w:lvl>
      <w:start w:val="1"/>
      <w:numFmt w:val="decimal"/>
      <w:suff w:val="tab"/>
      <w:lvlText w:val="%1."/>
      <w:rPr>
        <w:color w:val="3370ff"/>
      </w:rPr>
    </w:lvl>
  </w:abstractNum>
  <w:abstractNum w:abstractNumId="1130340">
    <w:lvl>
      <w:start w:val="2"/>
      <w:numFmt w:val="decimal"/>
      <w:suff w:val="tab"/>
      <w:lvlText w:val="%1."/>
      <w:rPr>
        <w:color w:val="3370ff"/>
      </w:rPr>
    </w:lvl>
  </w:abstractNum>
  <w:abstractNum w:abstractNumId="1130341">
    <w:lvl>
      <w:start w:val="3"/>
      <w:numFmt w:val="decimal"/>
      <w:suff w:val="tab"/>
      <w:lvlText w:val="%1."/>
      <w:rPr>
        <w:color w:val="3370ff"/>
      </w:rPr>
    </w:lvl>
  </w:abstractNum>
  <w:abstractNum w:abstractNumId="1130342">
    <w:lvl>
      <w:start w:val="4"/>
      <w:numFmt w:val="decimal"/>
      <w:suff w:val="tab"/>
      <w:lvlText w:val="%1."/>
      <w:rPr>
        <w:color w:val="3370ff"/>
      </w:rPr>
    </w:lvl>
  </w:abstractNum>
  <w:abstractNum w:abstractNumId="1130343">
    <w:lvl>
      <w:start w:val="5"/>
      <w:numFmt w:val="decimal"/>
      <w:suff w:val="tab"/>
      <w:lvlText w:val="%1."/>
      <w:rPr>
        <w:color w:val="3370ff"/>
      </w:rPr>
    </w:lvl>
  </w:abstractNum>
  <w:abstractNum w:abstractNumId="1130344">
    <w:lvl>
      <w:start w:val="6"/>
      <w:numFmt w:val="decimal"/>
      <w:suff w:val="tab"/>
      <w:lvlText w:val="%1."/>
      <w:rPr>
        <w:color w:val="3370ff"/>
      </w:rPr>
    </w:lvl>
  </w:abstractNum>
  <w:abstractNum w:abstractNumId="1130345">
    <w:lvl>
      <w:start w:val="1"/>
      <w:numFmt w:val="decimal"/>
      <w:suff w:val="tab"/>
      <w:lvlText w:val="%1."/>
      <w:rPr>
        <w:color w:val="3370ff"/>
      </w:rPr>
    </w:lvl>
  </w:abstractNum>
  <w:abstractNum w:abstractNumId="1130346">
    <w:lvl>
      <w:start w:val="2"/>
      <w:numFmt w:val="decimal"/>
      <w:suff w:val="tab"/>
      <w:lvlText w:val="%1."/>
      <w:rPr>
        <w:color w:val="3370ff"/>
      </w:rPr>
    </w:lvl>
  </w:abstractNum>
  <w:abstractNum w:abstractNumId="1130347">
    <w:lvl>
      <w:start w:val="3"/>
      <w:numFmt w:val="decimal"/>
      <w:suff w:val="tab"/>
      <w:lvlText w:val="%1."/>
      <w:rPr>
        <w:color w:val="3370ff"/>
      </w:rPr>
    </w:lvl>
  </w:abstractNum>
  <w:abstractNum w:abstractNumId="1130348">
    <w:lvl>
      <w:start w:val="1"/>
      <w:numFmt w:val="decimal"/>
      <w:suff w:val="tab"/>
      <w:lvlText w:val="%1."/>
      <w:rPr>
        <w:color w:val="3370ff"/>
      </w:rPr>
    </w:lvl>
  </w:abstractNum>
  <w:abstractNum w:abstractNumId="1130349">
    <w:lvl>
      <w:start w:val="2"/>
      <w:numFmt w:val="decimal"/>
      <w:suff w:val="tab"/>
      <w:lvlText w:val="%1."/>
      <w:rPr>
        <w:color w:val="3370ff"/>
      </w:rPr>
    </w:lvl>
  </w:abstractNum>
  <w:abstractNum w:abstractNumId="1130350">
    <w:lvl>
      <w:start w:val="3"/>
      <w:numFmt w:val="decimal"/>
      <w:suff w:val="tab"/>
      <w:lvlText w:val="%1."/>
      <w:rPr>
        <w:color w:val="3370ff"/>
      </w:rPr>
    </w:lvl>
  </w:abstractNum>
  <w:abstractNum w:abstractNumId="1130351">
    <w:lvl>
      <w:start w:val="4"/>
      <w:numFmt w:val="decimal"/>
      <w:suff w:val="tab"/>
      <w:lvlText w:val="%1."/>
      <w:rPr>
        <w:color w:val="3370ff"/>
      </w:rPr>
    </w:lvl>
  </w:abstractNum>
  <w:abstractNum w:abstractNumId="1130352">
    <w:lvl>
      <w:start w:val="1"/>
      <w:numFmt w:val="decimal"/>
      <w:suff w:val="tab"/>
      <w:lvlText w:val="%1."/>
      <w:rPr>
        <w:color w:val="3370ff"/>
      </w:rPr>
    </w:lvl>
  </w:abstractNum>
  <w:abstractNum w:abstractNumId="1130353">
    <w:lvl>
      <w:start w:val="2"/>
      <w:numFmt w:val="decimal"/>
      <w:suff w:val="tab"/>
      <w:lvlText w:val="%1."/>
      <w:rPr>
        <w:color w:val="3370ff"/>
      </w:rPr>
    </w:lvl>
  </w:abstractNum>
  <w:abstractNum w:abstractNumId="1130354">
    <w:lvl>
      <w:start w:val="3"/>
      <w:numFmt w:val="decimal"/>
      <w:suff w:val="tab"/>
      <w:lvlText w:val="%1."/>
      <w:rPr>
        <w:color w:val="3370ff"/>
      </w:rPr>
    </w:lvl>
  </w:abstractNum>
  <w:abstractNum w:abstractNumId="1130355">
    <w:lvl>
      <w:start w:val="4"/>
      <w:numFmt w:val="decimal"/>
      <w:suff w:val="tab"/>
      <w:lvlText w:val="%1."/>
      <w:rPr>
        <w:color w:val="3370ff"/>
      </w:rPr>
    </w:lvl>
  </w:abstractNum>
  <w:abstractNum w:abstractNumId="1130356">
    <w:lvl>
      <w:start w:val="1"/>
      <w:numFmt w:val="decimal"/>
      <w:suff w:val="tab"/>
      <w:lvlText w:val="%1."/>
      <w:rPr>
        <w:color w:val="3370ff"/>
      </w:rPr>
    </w:lvl>
  </w:abstractNum>
  <w:abstractNum w:abstractNumId="1130357">
    <w:lvl>
      <w:start w:val="2"/>
      <w:numFmt w:val="decimal"/>
      <w:suff w:val="tab"/>
      <w:lvlText w:val="%1."/>
      <w:rPr>
        <w:color w:val="3370ff"/>
      </w:rPr>
    </w:lvl>
  </w:abstractNum>
  <w:abstractNum w:abstractNumId="1130358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130333"/>
  </w:num>
  <w:num w:numId="2">
    <w:abstractNumId w:val="1130334"/>
  </w:num>
  <w:num w:numId="3">
    <w:abstractNumId w:val="1130335"/>
  </w:num>
  <w:num w:numId="4">
    <w:abstractNumId w:val="1130336"/>
  </w:num>
  <w:num w:numId="5">
    <w:abstractNumId w:val="1130337"/>
  </w:num>
  <w:num w:numId="6">
    <w:abstractNumId w:val="1130338"/>
  </w:num>
  <w:num w:numId="7">
    <w:abstractNumId w:val="1130339"/>
  </w:num>
  <w:num w:numId="8">
    <w:abstractNumId w:val="1130340"/>
  </w:num>
  <w:num w:numId="9">
    <w:abstractNumId w:val="1130341"/>
  </w:num>
  <w:num w:numId="10">
    <w:abstractNumId w:val="1130342"/>
  </w:num>
  <w:num w:numId="11">
    <w:abstractNumId w:val="1130343"/>
  </w:num>
  <w:num w:numId="12">
    <w:abstractNumId w:val="1130344"/>
  </w:num>
  <w:num w:numId="13">
    <w:abstractNumId w:val="1130345"/>
  </w:num>
  <w:num w:numId="14">
    <w:abstractNumId w:val="1130346"/>
  </w:num>
  <w:num w:numId="15">
    <w:abstractNumId w:val="1130347"/>
  </w:num>
  <w:num w:numId="16">
    <w:abstractNumId w:val="1130348"/>
  </w:num>
  <w:num w:numId="17">
    <w:abstractNumId w:val="1130349"/>
  </w:num>
  <w:num w:numId="18">
    <w:abstractNumId w:val="1130350"/>
  </w:num>
  <w:num w:numId="19">
    <w:abstractNumId w:val="1130351"/>
  </w:num>
  <w:num w:numId="20">
    <w:abstractNumId w:val="1130352"/>
  </w:num>
  <w:num w:numId="21">
    <w:abstractNumId w:val="1130353"/>
  </w:num>
  <w:num w:numId="22">
    <w:abstractNumId w:val="1130354"/>
  </w:num>
  <w:num w:numId="23">
    <w:abstractNumId w:val="1130355"/>
  </w:num>
  <w:num w:numId="24">
    <w:abstractNumId w:val="1130356"/>
  </w:num>
  <w:num w:numId="25">
    <w:abstractNumId w:val="1130357"/>
  </w:num>
  <w:num w:numId="26">
    <w:abstractNumId w:val="113035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2026-03-26T12:31:49Z</dcterms:created>
  <dc:creator>Apache POI</dc:creator>
</cp:coreProperties>
</file>