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红仓·完美文创公园改造项目环境影响报告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一、项目基本情况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项目概况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</w:t>
      </w:r>
      <w:r>
        <w:rPr>
          <w:rFonts w:eastAsia="等线" w:ascii="Arial" w:cs="Arial" w:hAnsi="Arial"/>
          <w:b w:val="true"/>
          <w:sz w:val="22"/>
        </w:rPr>
        <w:t>红仓・完美文创公园改造项目</w:t>
      </w:r>
      <w:r>
        <w:rPr>
          <w:rFonts w:eastAsia="等线" w:ascii="Arial" w:cs="Arial" w:hAnsi="Arial"/>
          <w:sz w:val="22"/>
        </w:rPr>
        <w:t>，位于成都市成华区二仙桥板块，地处中环核心地段，东北侧毗邻二仙桥公园，周边为成熟居住社区。项目依托原红仓完美文创公园内闲置工业红砖建筑进行改造活化，总用地面积 37701㎡，总建筑面积 11395㎡，建筑基底面积 8931㎡，容积率 0.30，绿地率 20.1%，建筑高度 12.5m，规划机动车停车位 20 个。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项目定位为 “东双记忆・二仙桥” 文创产业发展基地，以社会主义核心文化改造为方向，借助绿建技术赋能，打造集潮流文化、创意办公、社区服务于一体的低碳文化创意极核，实现闲置工业用地的盘活与城市更新。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建设内容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项目以原有 6 栋红砖工业建筑为基底，保留原始空间肌理与工业建筑结构，仅进行内部功能改造与外部景观提升，主要建设内容包括：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建筑改造</w:t>
      </w:r>
      <w:r>
        <w:rPr>
          <w:rFonts w:eastAsia="等线" w:ascii="Arial" w:cs="Arial" w:hAnsi="Arial"/>
          <w:sz w:val="22"/>
        </w:rPr>
        <w:t>：对原有 2 层红砖厂房进行内部空间重构，适配文创办公、展示、配套商业等功能，保留原有坡屋顶等工业符号；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景观提升</w:t>
      </w:r>
      <w:r>
        <w:rPr>
          <w:rFonts w:eastAsia="等线" w:ascii="Arial" w:cs="Arial" w:hAnsi="Arial"/>
          <w:sz w:val="22"/>
        </w:rPr>
        <w:t>：打造中心广场、雨水花园、人工微湿地、亲子广场等公共空间，完善园区生态景观系统；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绿色系统建设</w:t>
      </w:r>
      <w:r>
        <w:rPr>
          <w:rFonts w:eastAsia="等线" w:ascii="Arial" w:cs="Arial" w:hAnsi="Arial"/>
          <w:sz w:val="22"/>
        </w:rPr>
        <w:t>：配套建设绿色循环系统、光储直柔系统、相变储能系统等低碳环保设施，实现园区的低能耗、低排放运行。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政策符合性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本项目属于城市更新与旧工业建筑改造项目，符合《成都市城市更新管理办法》要求，同时契合国家 “双碳” 战略与绿色建筑发展导向，不属于高耗能、高污染产业，产业政策符合国家与地方相关要求。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二、环境质量现状调查与评价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2.1 区域环境质量现状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项目所在区域为成都市成华区建成区，根据成都市生态环境局公开的环境质量数据，区域大气环境、声环境、水环境质量均满足《环境空气质量标准》（GB3095-2012）二级标准、《声环境质量标准》（GB3096-2008）2 类区标准、《地表水环境质量标准》（GB3838-2002）Ⅲ 类标准要求，区域环境质量良好。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2.2 场地环境现状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项目场地为原有闲置工业用地，本次改造前场地已完成闲置清理，无遗留工业污染。经现场踏勘，场地内建筑结构完好，无危险废物遗留，土壤、地下水环境满足建设用地相关标准要求，无环境风险隐患。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三、施工期环境影响分析及防治措施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本项目为旧建筑改造项目，无大规模土方开挖与主体结构施工，施工期主要为内部装修、景观改造与设备安装，施工周期短，污染影响较小。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 大气环境影响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施工期大气污染主要为装修废气与少量拆除扬尘。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影响分析</w:t>
      </w:r>
      <w:r>
        <w:rPr>
          <w:rFonts w:eastAsia="等线" w:ascii="Arial" w:cs="Arial" w:hAnsi="Arial"/>
          <w:sz w:val="22"/>
        </w:rPr>
        <w:t>：装修废气主要为涂料、板材等释放的少量 VOCs，拆除作业产生的少量扬尘，由于作业量小，且场地开阔，污染物扩散快，对周边环境影响有限。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防治措施</w:t>
      </w:r>
      <w:r>
        <w:rPr>
          <w:rFonts w:eastAsia="等线" w:ascii="Arial" w:cs="Arial" w:hAnsi="Arial"/>
          <w:sz w:val="22"/>
        </w:rPr>
        <w:t>：施工期采取洒水降尘、密闭作业、使用环保型装修材料等措施，同时合理安排施工时间，避免在居民休息时段进行高扬尘作业，可有效降低施工废气对周边的影响。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3.2 水环境影响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施工期废水主要为施工人员生活污水与少量施工废水。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影响分析</w:t>
      </w:r>
      <w:r>
        <w:rPr>
          <w:rFonts w:eastAsia="等线" w:ascii="Arial" w:cs="Arial" w:hAnsi="Arial"/>
          <w:sz w:val="22"/>
        </w:rPr>
        <w:t>：施工人员生活污水依托周边市政管网排放，施工废水经临时沉淀池处理后回用，不外排，对区域水环境无明显影响。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声环境影响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施工期噪声主要为装修设备、运输车辆产生的噪声，源强约 70-85dB (A)。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防治措施</w:t>
      </w:r>
      <w:r>
        <w:rPr>
          <w:rFonts w:eastAsia="等线" w:ascii="Arial" w:cs="Arial" w:hAnsi="Arial"/>
          <w:sz w:val="22"/>
        </w:rPr>
        <w:t>：选用低噪声设备，合理安排施工时间，禁止夜间（22:00-6:00）施工，对高噪声设备采取减振、隔声措施，可确保施工场界噪声满足《建筑施工场界环境噪声排放标准》（GB12523-2011）要求，对周边居民影响可控。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3.4 固体废物影响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施工期固体废物主要为少量装修垃圾与施工人员生活垃圾。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防治措施</w:t>
      </w:r>
      <w:r>
        <w:rPr>
          <w:rFonts w:eastAsia="等线" w:ascii="Arial" w:cs="Arial" w:hAnsi="Arial"/>
          <w:sz w:val="22"/>
        </w:rPr>
        <w:t>：装修垃圾分类收集，可回收部分进行资源化利用，其余部分清运至指定建筑垃圾消纳场；生活垃圾由环卫部门统一清运，做到日产日清，无固体废物随意丢弃问题。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四、运营期环境影响分析及防治措施</w:t>
      </w:r>
      <w:bookmarkEnd w:id="1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4.1 大气环境影响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运营期园区无工业废气排放，大气污染主要为少量机动车尾气与餐饮油烟（配套商业）。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机动车尾气</w:t>
      </w:r>
      <w:r>
        <w:rPr>
          <w:rFonts w:eastAsia="等线" w:ascii="Arial" w:cs="Arial" w:hAnsi="Arial"/>
          <w:sz w:val="22"/>
        </w:rPr>
        <w:t>：园区停车位仅 20 个，车流量小，尾气排放量小，且场地开阔，扩散条件好，对区域大气环境无明显影响。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餐饮油烟</w:t>
      </w:r>
      <w:r>
        <w:rPr>
          <w:rFonts w:eastAsia="等线" w:ascii="Arial" w:cs="Arial" w:hAnsi="Arial"/>
          <w:sz w:val="22"/>
        </w:rPr>
        <w:t>：配套商业餐饮油烟经油烟净化器处理后达标排放，满足《饮食业油烟排放标准》（GB18483-2001）要求，对周边环境影响较小。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 水环境影响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运营期废水主要为园区工作人员与访客的生活污水，无生产废水。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生活污水经园区预处理池处理后，接入市政污水管网，排入城市污水处理厂进行深度处理，不外排至周边水体，对区域水环境无影响。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项目配套的雨水收集与净化系统，可对场地雨水进行收集、净化后回用，用于园区绿化灌溉与景观补水，减少了市政水资源的消耗，同时降低了雨水径流对城市管网的压力。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4.3 声环境影响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运营期噪声主要为配套设备噪声、人员活动噪声与少量交通噪声，源强较低。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设备噪声：水泵、风机等设备均布置在地下或设备间，采取减振、隔声措施后，场界噪声可满足《社会生活环境噪声排放标准》（GB22337-2008）2 类区标准要求。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人员活动与交通噪声：通过合理规划园区动线，限制车辆入园速度，可有效降低噪声影响，对周边居民无干扰。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4.4 固体废物影响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运营期固体废物主要为生活垃圾与少量办公垃圾。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园区设置分类垃圾桶，垃圾日产日清，由环卫部门统一清运至城市生活垃圾处理场，可回收部分进行资源化利用，无固体废物遗留问题。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4.5 生态与景观环境影响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通过景观提升，新增了雨水花园、人工微湿地等生态空间，提升了区域的绿化覆盖率与生态多样性，同时保留了原有工业建筑的历史风貌，实现了工业遗产与生态景观的融合，对区域生态与景观环境起到了改善作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五、低碳环保专项措施与环境效益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本项目配套了多项先进的低碳环保技术，大幅降低了项目的环境影响，实现了园区的绿色低碳运行：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5.1 绿色循环系统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项目构建了完整的场地绿色水循环系统：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配套雨水收集、毛细渗透、雨水净化系统，通过人工微湿地、水生生物净化，实现雨水的资源化回用，用于绿化灌溉与景观补水，年节水约 1.2 万 m³；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采用水环热泵、地源热泵等可再生能源系统，替代传统燃煤、燃气供暖制冷，减少了化石能源的消耗，年减少碳排放约 80t。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5.2 光储直柔系统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项目引入光储直柔技术，整合分布式光伏、储能系统、智能电网技术，实现园区能源的自给自足：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分布式光伏年发电量可满足园区 80% 的自用用电需求，降低 30%-50% 的外部电网用电需求；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该技术可有效减少园区的碳排放，助力区域达成低碳建筑标准，同时降低园区日常用电成本，长期来看可减少区域电网的供电压力。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5.3 相变储能与建筑节能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项目将相变材料与建筑构件深度融合，配套纳米超级绝热板、复合真空绝热结构，降低建筑的供暖制冷能耗：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相变储能地板可实现热量的存储与释放，平衡建筑室内温度，降低空调、供暖系统的负荷，建筑节能率可达 65% 以上，大幅减少了建筑运行过程中的能源消耗与碳排放。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5.4 建筑全生命周期减碳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本项目为旧工业建筑改造项目，通过保留原有建筑结构，避免了新建建筑的大规模建材消耗与拆除垃圾产生：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经建筑全生命周期分析，相比新建同规模建筑，本项目可减少约 70% 的建材消耗，减少拆除与建设阶段的碳排放约 60%，实现了建筑全生命周期的深度减碳，契合国家双碳战略要求。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六、环境管理与监测计划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为确保项目各项环保措施有效落实，项目运营期建立完善的环境管理体系：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制定环保管理制度，明确专人负责园区的环境管理工作，定期对环保设施进行维护；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定期开展环境监测，对园区的污水、噪声、废气进行监测，确保各项污染物达标排放；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建立碳排放监测体系，对园区的能源消耗与碳排放进行统计，落实碳减排目标。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七、环境影响评价结论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上所述，红仓・完美文创公园改造项目为旧工业建筑改造的文创类项目，符合国家产业政策与城市发展规划。项目施工期与运营期的污染物排放量小，通过落实本报告提出的各项环保措施，各项污染物均可实现达标排放，对周边环境影响较小。同时，项目配套了多项低碳环保技术，实现了园区的低能耗、低排放运行，具有显著的环境效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从环境保护角度分析，本项目的建设是可行的。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8722712">
    <w:lvl>
      <w:start w:val="1"/>
      <w:numFmt w:val="decimal"/>
      <w:suff w:val="tab"/>
      <w:lvlText w:val="%1."/>
      <w:rPr>
        <w:color w:val="3370ff"/>
      </w:rPr>
    </w:lvl>
  </w:abstractNum>
  <w:abstractNum w:abstractNumId="8722713">
    <w:lvl>
      <w:start w:val="2"/>
      <w:numFmt w:val="decimal"/>
      <w:suff w:val="tab"/>
      <w:lvlText w:val="%1."/>
      <w:rPr>
        <w:color w:val="3370ff"/>
      </w:rPr>
    </w:lvl>
  </w:abstractNum>
  <w:abstractNum w:abstractNumId="8722714">
    <w:lvl>
      <w:start w:val="3"/>
      <w:numFmt w:val="decimal"/>
      <w:suff w:val="tab"/>
      <w:lvlText w:val="%1."/>
      <w:rPr>
        <w:color w:val="3370ff"/>
      </w:rPr>
    </w:lvl>
  </w:abstractNum>
  <w:abstractNum w:abstractNumId="8722715">
    <w:lvl>
      <w:numFmt w:val="bullet"/>
      <w:suff w:val="tab"/>
      <w:lvlText w:val="•"/>
      <w:rPr>
        <w:color w:val="3370ff"/>
      </w:rPr>
    </w:lvl>
  </w:abstractNum>
  <w:abstractNum w:abstractNumId="8722716">
    <w:lvl>
      <w:numFmt w:val="bullet"/>
      <w:suff w:val="tab"/>
      <w:lvlText w:val="•"/>
      <w:rPr>
        <w:color w:val="3370ff"/>
      </w:rPr>
    </w:lvl>
  </w:abstractNum>
  <w:abstractNum w:abstractNumId="8722717">
    <w:lvl>
      <w:numFmt w:val="bullet"/>
      <w:suff w:val="tab"/>
      <w:lvlText w:val="•"/>
      <w:rPr>
        <w:color w:val="3370ff"/>
      </w:rPr>
    </w:lvl>
  </w:abstractNum>
  <w:abstractNum w:abstractNumId="8722718">
    <w:lvl>
      <w:numFmt w:val="bullet"/>
      <w:suff w:val="tab"/>
      <w:lvlText w:val="•"/>
      <w:rPr>
        <w:color w:val="3370ff"/>
      </w:rPr>
    </w:lvl>
  </w:abstractNum>
  <w:abstractNum w:abstractNumId="8722719">
    <w:lvl>
      <w:numFmt w:val="bullet"/>
      <w:suff w:val="tab"/>
      <w:lvlText w:val="•"/>
      <w:rPr>
        <w:color w:val="3370ff"/>
      </w:rPr>
    </w:lvl>
  </w:abstractNum>
  <w:abstractNum w:abstractNumId="8722720">
    <w:lvl>
      <w:numFmt w:val="bullet"/>
      <w:suff w:val="tab"/>
      <w:lvlText w:val="•"/>
      <w:rPr>
        <w:color w:val="3370ff"/>
      </w:rPr>
    </w:lvl>
  </w:abstractNum>
  <w:abstractNum w:abstractNumId="8722721">
    <w:lvl>
      <w:numFmt w:val="bullet"/>
      <w:suff w:val="tab"/>
      <w:lvlText w:val="•"/>
      <w:rPr>
        <w:color w:val="3370ff"/>
      </w:rPr>
    </w:lvl>
  </w:abstractNum>
  <w:abstractNum w:abstractNumId="8722722">
    <w:lvl>
      <w:numFmt w:val="bullet"/>
      <w:suff w:val="tab"/>
      <w:lvlText w:val="•"/>
      <w:rPr>
        <w:color w:val="3370ff"/>
      </w:rPr>
    </w:lvl>
  </w:abstractNum>
  <w:abstractNum w:abstractNumId="8722723">
    <w:lvl>
      <w:numFmt w:val="bullet"/>
      <w:suff w:val="tab"/>
      <w:lvlText w:val="•"/>
      <w:rPr>
        <w:color w:val="3370ff"/>
      </w:rPr>
    </w:lvl>
  </w:abstractNum>
  <w:abstractNum w:abstractNumId="8722724">
    <w:lvl>
      <w:numFmt w:val="bullet"/>
      <w:suff w:val="tab"/>
      <w:lvlText w:val="•"/>
      <w:rPr>
        <w:color w:val="3370ff"/>
      </w:rPr>
    </w:lvl>
  </w:abstractNum>
  <w:abstractNum w:abstractNumId="8722725">
    <w:lvl>
      <w:numFmt w:val="bullet"/>
      <w:suff w:val="tab"/>
      <w:lvlText w:val="•"/>
      <w:rPr>
        <w:color w:val="3370ff"/>
      </w:rPr>
    </w:lvl>
  </w:abstractNum>
  <w:abstractNum w:abstractNumId="8722726">
    <w:lvl>
      <w:numFmt w:val="bullet"/>
      <w:suff w:val="tab"/>
      <w:lvlText w:val="•"/>
      <w:rPr>
        <w:color w:val="3370ff"/>
      </w:rPr>
    </w:lvl>
  </w:abstractNum>
  <w:abstractNum w:abstractNumId="8722727">
    <w:lvl>
      <w:numFmt w:val="bullet"/>
      <w:suff w:val="tab"/>
      <w:lvlText w:val="•"/>
      <w:rPr>
        <w:color w:val="3370ff"/>
      </w:rPr>
    </w:lvl>
  </w:abstractNum>
  <w:abstractNum w:abstractNumId="8722728">
    <w:lvl>
      <w:numFmt w:val="bullet"/>
      <w:suff w:val="tab"/>
      <w:lvlText w:val="•"/>
      <w:rPr>
        <w:color w:val="3370ff"/>
      </w:rPr>
    </w:lvl>
  </w:abstractNum>
  <w:abstractNum w:abstractNumId="8722729">
    <w:lvl>
      <w:numFmt w:val="bullet"/>
      <w:suff w:val="tab"/>
      <w:lvlText w:val="•"/>
      <w:rPr>
        <w:color w:val="3370ff"/>
      </w:rPr>
    </w:lvl>
  </w:abstractNum>
  <w:abstractNum w:abstractNumId="8722730">
    <w:lvl>
      <w:numFmt w:val="bullet"/>
      <w:suff w:val="tab"/>
      <w:lvlText w:val="•"/>
      <w:rPr>
        <w:color w:val="3370ff"/>
      </w:rPr>
    </w:lvl>
  </w:abstractNum>
  <w:abstractNum w:abstractNumId="8722731">
    <w:lvl>
      <w:numFmt w:val="bullet"/>
      <w:suff w:val="tab"/>
      <w:lvlText w:val="•"/>
      <w:rPr>
        <w:color w:val="3370ff"/>
      </w:rPr>
    </w:lvl>
  </w:abstractNum>
  <w:abstractNum w:abstractNumId="8722732">
    <w:lvl>
      <w:numFmt w:val="bullet"/>
      <w:suff w:val="tab"/>
      <w:lvlText w:val="•"/>
      <w:rPr>
        <w:color w:val="3370ff"/>
      </w:rPr>
    </w:lvl>
  </w:abstractNum>
  <w:abstractNum w:abstractNumId="8722733">
    <w:lvl>
      <w:start w:val="1"/>
      <w:numFmt w:val="decimal"/>
      <w:suff w:val="tab"/>
      <w:lvlText w:val="%1."/>
      <w:rPr>
        <w:color w:val="3370ff"/>
      </w:rPr>
    </w:lvl>
  </w:abstractNum>
  <w:abstractNum w:abstractNumId="8722734">
    <w:lvl>
      <w:start w:val="2"/>
      <w:numFmt w:val="decimal"/>
      <w:suff w:val="tab"/>
      <w:lvlText w:val="%1."/>
      <w:rPr>
        <w:color w:val="3370ff"/>
      </w:rPr>
    </w:lvl>
  </w:abstractNum>
  <w:abstractNum w:abstractNumId="8722735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8722712"/>
  </w:num>
  <w:num w:numId="2">
    <w:abstractNumId w:val="8722713"/>
  </w:num>
  <w:num w:numId="3">
    <w:abstractNumId w:val="8722714"/>
  </w:num>
  <w:num w:numId="4">
    <w:abstractNumId w:val="8722715"/>
  </w:num>
  <w:num w:numId="5">
    <w:abstractNumId w:val="8722716"/>
  </w:num>
  <w:num w:numId="6">
    <w:abstractNumId w:val="8722717"/>
  </w:num>
  <w:num w:numId="7">
    <w:abstractNumId w:val="8722718"/>
  </w:num>
  <w:num w:numId="8">
    <w:abstractNumId w:val="8722719"/>
  </w:num>
  <w:num w:numId="9">
    <w:abstractNumId w:val="8722720"/>
  </w:num>
  <w:num w:numId="10">
    <w:abstractNumId w:val="8722721"/>
  </w:num>
  <w:num w:numId="11">
    <w:abstractNumId w:val="8722722"/>
  </w:num>
  <w:num w:numId="12">
    <w:abstractNumId w:val="8722723"/>
  </w:num>
  <w:num w:numId="13">
    <w:abstractNumId w:val="8722724"/>
  </w:num>
  <w:num w:numId="14">
    <w:abstractNumId w:val="8722725"/>
  </w:num>
  <w:num w:numId="15">
    <w:abstractNumId w:val="8722726"/>
  </w:num>
  <w:num w:numId="16">
    <w:abstractNumId w:val="8722727"/>
  </w:num>
  <w:num w:numId="17">
    <w:abstractNumId w:val="8722728"/>
  </w:num>
  <w:num w:numId="18">
    <w:abstractNumId w:val="8722729"/>
  </w:num>
  <w:num w:numId="19">
    <w:abstractNumId w:val="8722730"/>
  </w:num>
  <w:num w:numId="20">
    <w:abstractNumId w:val="8722731"/>
  </w:num>
  <w:num w:numId="21">
    <w:abstractNumId w:val="8722732"/>
  </w:num>
  <w:num w:numId="22">
    <w:abstractNumId w:val="8722733"/>
  </w:num>
  <w:num w:numId="23">
    <w:abstractNumId w:val="8722734"/>
  </w:num>
  <w:num w:numId="24">
    <w:abstractNumId w:val="872273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2026-03-26T12:28:59Z</dcterms:created>
  <dc:creator>Apache POI</dc:creator>
</cp:coreProperties>
</file>