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红仓·完美文创公园改造项目污染源监测报告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监测编号</w:t>
      </w:r>
      <w:r>
        <w:rPr>
          <w:rFonts w:eastAsia="等线" w:ascii="Arial" w:cs="Arial" w:hAnsi="Arial"/>
          <w:sz w:val="22"/>
        </w:rPr>
        <w:t>：CDHJ-2024-089</w:t>
        <w:br/>
      </w:r>
      <w:r>
        <w:rPr>
          <w:rFonts w:eastAsia="等线" w:ascii="Arial" w:cs="Arial" w:hAnsi="Arial"/>
          <w:b w:val="true"/>
          <w:sz w:val="22"/>
        </w:rPr>
        <w:t>监测类别</w:t>
      </w:r>
      <w:r>
        <w:rPr>
          <w:rFonts w:eastAsia="等线" w:ascii="Arial" w:cs="Arial" w:hAnsi="Arial"/>
          <w:sz w:val="22"/>
        </w:rPr>
        <w:t>：场地污染源排查监测</w:t>
        <w:br/>
      </w:r>
      <w:r>
        <w:rPr>
          <w:rFonts w:eastAsia="等线" w:ascii="Arial" w:cs="Arial" w:hAnsi="Arial"/>
          <w:b w:val="true"/>
          <w:sz w:val="22"/>
        </w:rPr>
        <w:t>监测单位</w:t>
      </w:r>
      <w:r>
        <w:rPr>
          <w:rFonts w:eastAsia="等线" w:ascii="Arial" w:cs="Arial" w:hAnsi="Arial"/>
          <w:sz w:val="22"/>
        </w:rPr>
        <w:t>：成都华测环境监测有限公司</w:t>
        <w:br/>
      </w:r>
      <w:r>
        <w:rPr>
          <w:rFonts w:eastAsia="等线" w:ascii="Arial" w:cs="Arial" w:hAnsi="Arial"/>
          <w:b w:val="true"/>
          <w:sz w:val="22"/>
        </w:rPr>
        <w:t>监测日期</w:t>
      </w:r>
      <w:r>
        <w:rPr>
          <w:rFonts w:eastAsia="等线" w:ascii="Arial" w:cs="Arial" w:hAnsi="Arial"/>
          <w:sz w:val="22"/>
        </w:rPr>
        <w:t>：2024 年 4 月 15 日～4 月 21 日</w:t>
        <w:br/>
      </w:r>
      <w:r>
        <w:rPr>
          <w:rFonts w:eastAsia="等线" w:ascii="Arial" w:cs="Arial" w:hAnsi="Arial"/>
          <w:b w:val="true"/>
          <w:sz w:val="22"/>
        </w:rPr>
        <w:t>报告日期</w:t>
      </w:r>
      <w:r>
        <w:rPr>
          <w:rFonts w:eastAsia="等线" w:ascii="Arial" w:cs="Arial" w:hAnsi="Arial"/>
          <w:sz w:val="22"/>
        </w:rPr>
        <w:t>：2024 年 4 月 28 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一、项目概况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项目基本信息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红仓・完美文创公园改造项目，位于成都市成华区二仙桥街道，场地为原有闲置工业用地，拟改造为文创产业园区。为排查场地内是否存在原有工业活动遗留的污染源，保障改造后场地的环境安全，本次对场地的土壤、地下水、原有建筑室内空气及周边环境质量进行了全面的污染源监测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监测目的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排查场地内土壤、地下水是否存在工业污染遗留，评价其是否满足建设用地的环境要求；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监测原有工业建筑的室内空气质量，排查是否存在装修、生产遗留的空气污染；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监测场地周边的大气、声环境质量，排查外部污染源对项目场地的影响；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为项目的改造建设提供环境安全依据。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二、监测依据</w:t>
      </w:r>
      <w:bookmarkEnd w:id="3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《土壤环境质量 建设用地土壤污染风险管控标准（试行）》（GB36600-2018）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《地下水质量标准》（GB/T14848-2017）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《室内空气质量标准》（GB/T18883-2002）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《环境空气质量标准》（GB3095-2012）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《声环境质量标准》（GB3096-2008）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《环境监测质量管理技术导则》（HJ630-2011）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三、监测内容与方法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3.1 监测点位布置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本次共布置监测点位如下：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土壤监测</w:t>
      </w:r>
      <w:r>
        <w:rPr>
          <w:rFonts w:eastAsia="等线" w:ascii="Arial" w:cs="Arial" w:hAnsi="Arial"/>
          <w:sz w:val="22"/>
        </w:rPr>
        <w:t>：场地内布置 6 个土壤监测点，覆盖原有 6 栋工业厂房区域，采样深度 0\</w:t>
      </w:r>
      <w:r>
        <w:rPr>
          <w:rFonts w:eastAsia="等线" w:ascii="Arial" w:cs="Arial" w:hAnsi="Arial"/>
          <w:sz w:val="22"/>
          <w:u w:val="single"/>
        </w:rPr>
        <w:t>0.5m、0.5\</w:t>
      </w:r>
      <w:r>
        <w:rPr>
          <w:rFonts w:eastAsia="等线" w:ascii="Arial" w:cs="Arial" w:hAnsi="Arial"/>
          <w:sz w:val="22"/>
        </w:rPr>
        <w:t>1.5m；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地下水监测</w:t>
      </w:r>
      <w:r>
        <w:rPr>
          <w:rFonts w:eastAsia="等线" w:ascii="Arial" w:cs="Arial" w:hAnsi="Arial"/>
          <w:sz w:val="22"/>
        </w:rPr>
        <w:t>：在场地内布设 1 个地下水监测井，采集浅层地下水样品；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室内空气监测</w:t>
      </w:r>
      <w:r>
        <w:rPr>
          <w:rFonts w:eastAsia="等线" w:ascii="Arial" w:cs="Arial" w:hAnsi="Arial"/>
          <w:sz w:val="22"/>
        </w:rPr>
        <w:t>：在原有 6 栋厂房内各布置 1 个室内监测点，监测室内空气质量；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环境监测</w:t>
      </w:r>
      <w:r>
        <w:rPr>
          <w:rFonts w:eastAsia="等线" w:ascii="Arial" w:cs="Arial" w:hAnsi="Arial"/>
          <w:sz w:val="22"/>
        </w:rPr>
        <w:t>：在场地的东、南、西、北四个边界各布置 1 个大气、噪声监测点，监测周边环境质量。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3.2 监测项目与分析方法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监测类型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监测项目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分析方法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所用仪器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土壤监测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重金属（镉、汞、砷、铜、铅、铬、镍、锌）、VOCs（苯、甲苯、二甲苯等）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原子吸收分光光度法、气相色谱 - 质谱法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原子吸收分光光度计、GC-MS 联用仪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地下水监测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pH、COD、氨氮、总硬度、挥发性酚、重金属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滴定法、分光光度法、原子吸收法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紫外可见分光光度计、离子色谱仪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室内空气监测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甲醛、苯、TVOC、氨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酚试剂分光光度法、热解吸 - 气相色谱法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气相色谱仪、大气采样器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大气监测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PM₁₀、PM₂.₅、SO₂、NO₂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重量法、分光光度法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中流量大气采样器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噪声监测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等效连续 A 声级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积分声级计法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精密声级计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四、监测结果与分析</w:t>
      </w:r>
      <w:bookmarkEnd w:id="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4.1 土壤污染源监测结果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本次土壤监测共检测 45 项污染物指标，所有指标均满足《土壤环境质量 建设用地土壤污染风险管控标准（试行）》（GB36600-2018）第二类用地筛选值要求，具体核心指标结果如下：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监测项目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监测结果范围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标准筛选值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达标情况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镉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0.08~0.12mg/kg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20mg/kg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汞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0.03~0.05mg/kg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38mg/kg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砷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4.2~5.8mg/kg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60mg/kg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铜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28.5~32.6mg/kg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18000mg/kg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铅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26.3~30.1mg/kg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800mg/kg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苯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&lt;0.01mg/kg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4mg/kg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甲苯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&lt;0.01mg/kg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1200mg/kg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二甲苯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&lt;0.01mg/kg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570mg/kg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结果分析</w:t>
      </w:r>
      <w:r>
        <w:rPr>
          <w:rFonts w:eastAsia="等线" w:ascii="Arial" w:cs="Arial" w:hAnsi="Arial"/>
          <w:sz w:val="22"/>
        </w:rPr>
        <w:t>：场地内土壤无重金属、VOCs 超标情况，未发现原有工业活动遗留的土壤污染，土壤环境质量满足建设用地要求。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4.2 地下水污染源监测结果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地下水监测结果显示，所有指标均满足《地下水质量标准》（GB/T14848-2017）Ⅲ 类标准要求，核心指标如下：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监测项目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监测结果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标准值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达标情况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pH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7.2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6.5~8.5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COD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1.8mg/L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3.0mg/L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氨氮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0.12mg/L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0.5mg/L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总硬度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215mg/L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450mg/L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挥发性酚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&lt;0.001mg/L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0.002mg/L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结果分析</w:t>
      </w:r>
      <w:r>
        <w:rPr>
          <w:rFonts w:eastAsia="等线" w:ascii="Arial" w:cs="Arial" w:hAnsi="Arial"/>
          <w:sz w:val="22"/>
        </w:rPr>
        <w:t>：地下水无污染物超标，水质良好，对建筑材料无腐蚀性，无工业污染遗留。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4.3 室内空气监测结果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原有厂房室内空气监测结果显示，所有指标均满足《室内空气质量标准》（GB/T18883-2002）要求，具体如下：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监测项目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监测结果范围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标准值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达标情况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甲醛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0.04~0.06mg/m³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0.10mg/m³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苯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&lt;0.01mg/m³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0.11mg/m³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TVOC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0.32~0.41mg/m³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0.60mg/m³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氨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0.08~0.10mg/m³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0.20mg/m³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结果分析</w:t>
      </w:r>
      <w:r>
        <w:rPr>
          <w:rFonts w:eastAsia="等线" w:ascii="Arial" w:cs="Arial" w:hAnsi="Arial"/>
          <w:sz w:val="22"/>
        </w:rPr>
        <w:t>：原有建筑室内空气质量良好，无生产、装修遗留的空气污染，改造后可直接投入使用。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4.4 周边环境监测结果</w:t>
      </w:r>
      <w:bookmarkEnd w:id="11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" w:id="12"/>
      <w:r>
        <w:rPr>
          <w:rFonts w:eastAsia="等线" w:ascii="Arial" w:cs="Arial" w:hAnsi="Arial"/>
          <w:b w:val="true"/>
          <w:sz w:val="28"/>
        </w:rPr>
        <w:t>4.4.1 大气环境监测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周边大气监测结果显示，PM₁₀、PM₂.₅、SO₂、NO₂等指标均满足《环境空气质量标准》（GB3095-2012）二级标准要求，无外部大气污染源影响场地。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3" w:id="13"/>
      <w:r>
        <w:rPr>
          <w:rFonts w:eastAsia="等线" w:ascii="Arial" w:cs="Arial" w:hAnsi="Arial"/>
          <w:b w:val="true"/>
          <w:sz w:val="28"/>
        </w:rPr>
        <w:t>4.4.2 声环境监测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场地边界噪声监测结果如下：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昼间噪声：52.3~55.6dB (A)，标准值 60dB (A)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夜间噪声：42.1~44.5dB (A)，标准值 50dB (A)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所有点位噪声均满足《声环境质量标准》（GB3096-2008）2 类区标准要求，周边无明显噪声污染源。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五、监测结论</w:t>
      </w:r>
      <w:bookmarkEnd w:id="14"/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本次监测结果表明，红仓・完美文创公园改造项目场地内，土壤、地下水均无原有工业遗留的污染源，所有指标均满足建设用地的环境质量要求；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原有工业建筑的室内空气质量达标，无空气污染遗留，改造后可安全使用；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场地周边的大气、声环境质量良好，无外部污染源对项目场地造成影响；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项目场地环境安全，不存在制约项目改造建设的污染源问题，符合文创园区建设的环境要求。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8385433">
    <w:lvl>
      <w:start w:val="1"/>
      <w:numFmt w:val="decimal"/>
      <w:suff w:val="tab"/>
      <w:lvlText w:val="%1."/>
      <w:rPr>
        <w:color w:val="3370ff"/>
      </w:rPr>
    </w:lvl>
  </w:abstractNum>
  <w:abstractNum w:abstractNumId="18385434">
    <w:lvl>
      <w:start w:val="2"/>
      <w:numFmt w:val="decimal"/>
      <w:suff w:val="tab"/>
      <w:lvlText w:val="%1."/>
      <w:rPr>
        <w:color w:val="3370ff"/>
      </w:rPr>
    </w:lvl>
  </w:abstractNum>
  <w:abstractNum w:abstractNumId="18385435">
    <w:lvl>
      <w:start w:val="3"/>
      <w:numFmt w:val="decimal"/>
      <w:suff w:val="tab"/>
      <w:lvlText w:val="%1."/>
      <w:rPr>
        <w:color w:val="3370ff"/>
      </w:rPr>
    </w:lvl>
  </w:abstractNum>
  <w:abstractNum w:abstractNumId="18385436">
    <w:lvl>
      <w:start w:val="4"/>
      <w:numFmt w:val="decimal"/>
      <w:suff w:val="tab"/>
      <w:lvlText w:val="%1."/>
      <w:rPr>
        <w:color w:val="3370ff"/>
      </w:rPr>
    </w:lvl>
  </w:abstractNum>
  <w:abstractNum w:abstractNumId="18385437">
    <w:lvl>
      <w:start w:val="1"/>
      <w:numFmt w:val="decimal"/>
      <w:suff w:val="tab"/>
      <w:lvlText w:val="%1."/>
      <w:rPr>
        <w:color w:val="3370ff"/>
      </w:rPr>
    </w:lvl>
  </w:abstractNum>
  <w:abstractNum w:abstractNumId="18385438">
    <w:lvl>
      <w:start w:val="2"/>
      <w:numFmt w:val="decimal"/>
      <w:suff w:val="tab"/>
      <w:lvlText w:val="%1."/>
      <w:rPr>
        <w:color w:val="3370ff"/>
      </w:rPr>
    </w:lvl>
  </w:abstractNum>
  <w:abstractNum w:abstractNumId="18385439">
    <w:lvl>
      <w:start w:val="3"/>
      <w:numFmt w:val="decimal"/>
      <w:suff w:val="tab"/>
      <w:lvlText w:val="%1."/>
      <w:rPr>
        <w:color w:val="3370ff"/>
      </w:rPr>
    </w:lvl>
  </w:abstractNum>
  <w:abstractNum w:abstractNumId="18385440">
    <w:lvl>
      <w:start w:val="4"/>
      <w:numFmt w:val="decimal"/>
      <w:suff w:val="tab"/>
      <w:lvlText w:val="%1."/>
      <w:rPr>
        <w:color w:val="3370ff"/>
      </w:rPr>
    </w:lvl>
  </w:abstractNum>
  <w:abstractNum w:abstractNumId="18385441">
    <w:lvl>
      <w:start w:val="5"/>
      <w:numFmt w:val="decimal"/>
      <w:suff w:val="tab"/>
      <w:lvlText w:val="%1."/>
      <w:rPr>
        <w:color w:val="3370ff"/>
      </w:rPr>
    </w:lvl>
  </w:abstractNum>
  <w:abstractNum w:abstractNumId="18385442">
    <w:lvl>
      <w:start w:val="6"/>
      <w:numFmt w:val="decimal"/>
      <w:suff w:val="tab"/>
      <w:lvlText w:val="%1."/>
      <w:rPr>
        <w:color w:val="3370ff"/>
      </w:rPr>
    </w:lvl>
  </w:abstractNum>
  <w:abstractNum w:abstractNumId="18385443">
    <w:lvl>
      <w:start w:val="1"/>
      <w:numFmt w:val="decimal"/>
      <w:suff w:val="tab"/>
      <w:lvlText w:val="%1."/>
      <w:rPr>
        <w:color w:val="3370ff"/>
      </w:rPr>
    </w:lvl>
  </w:abstractNum>
  <w:abstractNum w:abstractNumId="18385444">
    <w:lvl>
      <w:start w:val="2"/>
      <w:numFmt w:val="decimal"/>
      <w:suff w:val="tab"/>
      <w:lvlText w:val="%1."/>
      <w:rPr>
        <w:color w:val="3370ff"/>
      </w:rPr>
    </w:lvl>
  </w:abstractNum>
  <w:abstractNum w:abstractNumId="18385445">
    <w:lvl>
      <w:start w:val="3"/>
      <w:numFmt w:val="decimal"/>
      <w:suff w:val="tab"/>
      <w:lvlText w:val="%1."/>
      <w:rPr>
        <w:color w:val="3370ff"/>
      </w:rPr>
    </w:lvl>
  </w:abstractNum>
  <w:abstractNum w:abstractNumId="18385446">
    <w:lvl>
      <w:start w:val="4"/>
      <w:numFmt w:val="decimal"/>
      <w:suff w:val="tab"/>
      <w:lvlText w:val="%1."/>
      <w:rPr>
        <w:color w:val="3370ff"/>
      </w:rPr>
    </w:lvl>
  </w:abstractNum>
  <w:abstractNum w:abstractNumId="18385447">
    <w:lvl>
      <w:numFmt w:val="bullet"/>
      <w:suff w:val="tab"/>
      <w:lvlText w:val="•"/>
      <w:rPr>
        <w:color w:val="3370ff"/>
      </w:rPr>
    </w:lvl>
  </w:abstractNum>
  <w:abstractNum w:abstractNumId="18385448">
    <w:lvl>
      <w:numFmt w:val="bullet"/>
      <w:suff w:val="tab"/>
      <w:lvlText w:val="•"/>
      <w:rPr>
        <w:color w:val="3370ff"/>
      </w:rPr>
    </w:lvl>
  </w:abstractNum>
  <w:abstractNum w:abstractNumId="18385449">
    <w:lvl>
      <w:start w:val="1"/>
      <w:numFmt w:val="decimal"/>
      <w:suff w:val="tab"/>
      <w:lvlText w:val="%1."/>
      <w:rPr>
        <w:color w:val="3370ff"/>
      </w:rPr>
    </w:lvl>
  </w:abstractNum>
  <w:abstractNum w:abstractNumId="18385450">
    <w:lvl>
      <w:start w:val="2"/>
      <w:numFmt w:val="decimal"/>
      <w:suff w:val="tab"/>
      <w:lvlText w:val="%1."/>
      <w:rPr>
        <w:color w:val="3370ff"/>
      </w:rPr>
    </w:lvl>
  </w:abstractNum>
  <w:abstractNum w:abstractNumId="18385451">
    <w:lvl>
      <w:start w:val="3"/>
      <w:numFmt w:val="decimal"/>
      <w:suff w:val="tab"/>
      <w:lvlText w:val="%1."/>
      <w:rPr>
        <w:color w:val="3370ff"/>
      </w:rPr>
    </w:lvl>
  </w:abstractNum>
  <w:abstractNum w:abstractNumId="18385452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18385433"/>
  </w:num>
  <w:num w:numId="2">
    <w:abstractNumId w:val="18385434"/>
  </w:num>
  <w:num w:numId="3">
    <w:abstractNumId w:val="18385435"/>
  </w:num>
  <w:num w:numId="4">
    <w:abstractNumId w:val="18385436"/>
  </w:num>
  <w:num w:numId="5">
    <w:abstractNumId w:val="18385437"/>
  </w:num>
  <w:num w:numId="6">
    <w:abstractNumId w:val="18385438"/>
  </w:num>
  <w:num w:numId="7">
    <w:abstractNumId w:val="18385439"/>
  </w:num>
  <w:num w:numId="8">
    <w:abstractNumId w:val="18385440"/>
  </w:num>
  <w:num w:numId="9">
    <w:abstractNumId w:val="18385441"/>
  </w:num>
  <w:num w:numId="10">
    <w:abstractNumId w:val="18385442"/>
  </w:num>
  <w:num w:numId="11">
    <w:abstractNumId w:val="18385443"/>
  </w:num>
  <w:num w:numId="12">
    <w:abstractNumId w:val="18385444"/>
  </w:num>
  <w:num w:numId="13">
    <w:abstractNumId w:val="18385445"/>
  </w:num>
  <w:num w:numId="14">
    <w:abstractNumId w:val="18385446"/>
  </w:num>
  <w:num w:numId="15">
    <w:abstractNumId w:val="18385447"/>
  </w:num>
  <w:num w:numId="16">
    <w:abstractNumId w:val="18385448"/>
  </w:num>
  <w:num w:numId="17">
    <w:abstractNumId w:val="18385449"/>
  </w:num>
  <w:num w:numId="18">
    <w:abstractNumId w:val="18385450"/>
  </w:num>
  <w:num w:numId="19">
    <w:abstractNumId w:val="18385451"/>
  </w:num>
  <w:num w:numId="20">
    <w:abstractNumId w:val="18385452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2026-03-26T12:35:38Z</dcterms:created>
  <dc:creator>Apache POI</dc:creator>
</cp:coreProperties>
</file>