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红仓·完美文创公园改造项目幕墙气密性检测报告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检测编号</w:t>
      </w:r>
      <w:r>
        <w:rPr>
          <w:rFonts w:eastAsia="等线" w:ascii="Arial" w:cs="Arial" w:hAnsi="Arial"/>
          <w:sz w:val="22"/>
        </w:rPr>
        <w:t>：CDMQ-2024-156</w:t>
        <w:br/>
      </w:r>
      <w:r>
        <w:rPr>
          <w:rFonts w:eastAsia="等线" w:ascii="Arial" w:cs="Arial" w:hAnsi="Arial"/>
          <w:b w:val="true"/>
          <w:sz w:val="22"/>
        </w:rPr>
        <w:t>检测类别</w:t>
      </w:r>
      <w:r>
        <w:rPr>
          <w:rFonts w:eastAsia="等线" w:ascii="Arial" w:cs="Arial" w:hAnsi="Arial"/>
          <w:sz w:val="22"/>
        </w:rPr>
        <w:t>：建筑幕墙气密性现场检测</w:t>
        <w:br/>
      </w:r>
      <w:r>
        <w:rPr>
          <w:rFonts w:eastAsia="等线" w:ascii="Arial" w:cs="Arial" w:hAnsi="Arial"/>
          <w:b w:val="true"/>
          <w:sz w:val="22"/>
        </w:rPr>
        <w:t>检测单位</w:t>
      </w:r>
      <w:r>
        <w:rPr>
          <w:rFonts w:eastAsia="等线" w:ascii="Arial" w:cs="Arial" w:hAnsi="Arial"/>
          <w:sz w:val="22"/>
        </w:rPr>
        <w:t>：成都建科节能检测有限公司</w:t>
        <w:br/>
      </w:r>
      <w:r>
        <w:rPr>
          <w:rFonts w:eastAsia="等线" w:ascii="Arial" w:cs="Arial" w:hAnsi="Arial"/>
          <w:b w:val="true"/>
          <w:sz w:val="22"/>
        </w:rPr>
        <w:t>检测日期</w:t>
      </w:r>
      <w:r>
        <w:rPr>
          <w:rFonts w:eastAsia="等线" w:ascii="Arial" w:cs="Arial" w:hAnsi="Arial"/>
          <w:sz w:val="22"/>
        </w:rPr>
        <w:t>：2024 年 6 月 12 日</w:t>
        <w:br/>
      </w:r>
      <w:r>
        <w:rPr>
          <w:rFonts w:eastAsia="等线" w:ascii="Arial" w:cs="Arial" w:hAnsi="Arial"/>
          <w:b w:val="true"/>
          <w:sz w:val="22"/>
        </w:rPr>
        <w:t>报告日期</w:t>
      </w:r>
      <w:r>
        <w:rPr>
          <w:rFonts w:eastAsia="等线" w:ascii="Arial" w:cs="Arial" w:hAnsi="Arial"/>
          <w:sz w:val="22"/>
        </w:rPr>
        <w:t>：2024 年 6 月 18 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一、项目概况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基本信息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本项目为红仓・完美文创公园改造项目，位于成都市成华区二仙桥街道。本次改造对原有 6 栋工业厂房的外围护门窗进行了整体更换，新增了断桥铝中空玻璃幕墙系统，以提升建筑的保温隔热与节能性能。本次检测针对改造后的幕墙系统进行气密性现场检测，验证其是否满足设计与规范要求。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检测依据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《建筑幕墙气密、水密、抗风压性能检测方法》（GB/T15227-2019）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《建筑幕墙》（GB/T21086-2007）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《建筑节能工程施工质量验收标准》（GB50411-2019）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项目围护结构设计图纸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二、检测内容与方法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2.1 检测点位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本次检测选取项目内 3 个最具代表性的幕墙单元进行检测，覆盖所有改造楼栋的典型立面：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 号厂房东立面幕墙单元：尺寸 1.8m×2.1m，为标准办公区域幕墙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 号厂房南立面幕墙单元：尺寸 2.4m×2.1m，为展示区域大尺寸幕墙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 号厂房北立面幕墙单元：尺寸 1.8m×2.1m，为配套商业区域幕墙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2.2 检测方法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本次检测采用</w:t>
      </w:r>
      <w:r>
        <w:rPr>
          <w:rFonts w:eastAsia="等线" w:ascii="Arial" w:cs="Arial" w:hAnsi="Arial"/>
          <w:b w:val="true"/>
          <w:sz w:val="22"/>
        </w:rPr>
        <w:t>压力箱法</w:t>
      </w:r>
      <w:r>
        <w:rPr>
          <w:rFonts w:eastAsia="等线" w:ascii="Arial" w:cs="Arial" w:hAnsi="Arial"/>
          <w:sz w:val="22"/>
        </w:rPr>
        <w:t>进行现场气密性检测，具体流程：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在检测幕墙单元外侧安装压力箱，密封检测区域；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通过压力控制系统，按照规范要求施加分级压力脉冲；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采用流量传感器测量不同压力差下的空气渗透量；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计算幕墙的空气渗透系数，评定气密性等级。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2.3 检测设备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设备名称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设备型号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校准有效期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幕墙检测压力箱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JX-MQ02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 年 3 月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智能压力传感器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PT100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 年 3 月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热式质量流量传感器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FS4001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 年 3 月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数据采集仪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Agilent 34970A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 年 2 月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三、检测结果</w:t>
      </w:r>
      <w:bookmarkEnd w:id="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3.1 检测参数</w:t>
      </w:r>
      <w:bookmarkEnd w:id="8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检测压力差：10Pa、50Pa、100Pa、150Pa、250Pa、500Pa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计算参数：可开启部分面积、幕墙总面积、空气渗透量 qL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3.2 检测结果汇总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检测点位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空气渗透量 qL(m³/(m·h))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气密性等级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标准要求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达标情况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 号厂房东立面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0.42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 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≥4 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 号厂房南立面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0.38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 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≥4 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 号厂房北立面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0.45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 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/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注</w:t>
      </w:r>
      <w:r>
        <w:rPr>
          <w:rFonts w:eastAsia="等线" w:ascii="Arial" w:cs="Arial" w:hAnsi="Arial"/>
          <w:sz w:val="22"/>
        </w:rPr>
        <w:t>：根据《建筑幕墙》（GB/T21086-2007），幕墙气密性等级分为 1~6 级，6 级为最高等级，对应 10Pa 压力差下空气渗透量≤0.5m³/(m・h)。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3.3 结果分析</w:t>
      </w:r>
      <w:bookmarkEnd w:id="10"/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所有检测点位的空气渗透量均远小于规范限值，改造后的断桥铝中空玻璃幕墙密封性能良好，无明显空气渗漏问题；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所有点位的气密性等级均达到最高的 6 级，满足夏热冬冷地区节能设计对幕墙气密性的要求，可有效减少冷风渗透带来的能耗损失；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检测结果与围护结构热工计算的参数假设一致，验证了节能改造措施的有效性。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四、检测结论</w:t>
      </w:r>
      <w:bookmarkEnd w:id="11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红仓・完美文创公园改造项目的幕墙气密性检测结果合格，所有检测单元的气密性等级均达到 6 级，满足国家相关规范与项目设计要求；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改造后的幕墙系统密封性能良好，可有效降低空气渗透带来的能耗，保障项目 65% 建筑节能率的实现；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本次检测结果表明，项目的幕墙改造工程质量合格，符合验收要求。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147878">
    <w:lvl>
      <w:start w:val="1"/>
      <w:numFmt w:val="decimal"/>
      <w:suff w:val="tab"/>
      <w:lvlText w:val="%1."/>
      <w:rPr>
        <w:color w:val="3370ff"/>
      </w:rPr>
    </w:lvl>
  </w:abstractNum>
  <w:abstractNum w:abstractNumId="1147879">
    <w:lvl>
      <w:start w:val="2"/>
      <w:numFmt w:val="decimal"/>
      <w:suff w:val="tab"/>
      <w:lvlText w:val="%1."/>
      <w:rPr>
        <w:color w:val="3370ff"/>
      </w:rPr>
    </w:lvl>
  </w:abstractNum>
  <w:abstractNum w:abstractNumId="1147880">
    <w:lvl>
      <w:start w:val="3"/>
      <w:numFmt w:val="decimal"/>
      <w:suff w:val="tab"/>
      <w:lvlText w:val="%1."/>
      <w:rPr>
        <w:color w:val="3370ff"/>
      </w:rPr>
    </w:lvl>
  </w:abstractNum>
  <w:abstractNum w:abstractNumId="1147881">
    <w:lvl>
      <w:start w:val="4"/>
      <w:numFmt w:val="decimal"/>
      <w:suff w:val="tab"/>
      <w:lvlText w:val="%1."/>
      <w:rPr>
        <w:color w:val="3370ff"/>
      </w:rPr>
    </w:lvl>
  </w:abstractNum>
  <w:abstractNum w:abstractNumId="1147882">
    <w:lvl>
      <w:start w:val="1"/>
      <w:numFmt w:val="decimal"/>
      <w:suff w:val="tab"/>
      <w:lvlText w:val="%1."/>
      <w:rPr>
        <w:color w:val="3370ff"/>
      </w:rPr>
    </w:lvl>
  </w:abstractNum>
  <w:abstractNum w:abstractNumId="1147883">
    <w:lvl>
      <w:start w:val="2"/>
      <w:numFmt w:val="decimal"/>
      <w:suff w:val="tab"/>
      <w:lvlText w:val="%1."/>
      <w:rPr>
        <w:color w:val="3370ff"/>
      </w:rPr>
    </w:lvl>
  </w:abstractNum>
  <w:abstractNum w:abstractNumId="1147884">
    <w:lvl>
      <w:start w:val="3"/>
      <w:numFmt w:val="decimal"/>
      <w:suff w:val="tab"/>
      <w:lvlText w:val="%1."/>
      <w:rPr>
        <w:color w:val="3370ff"/>
      </w:rPr>
    </w:lvl>
  </w:abstractNum>
  <w:abstractNum w:abstractNumId="1147885">
    <w:lvl>
      <w:start w:val="1"/>
      <w:numFmt w:val="decimal"/>
      <w:suff w:val="tab"/>
      <w:lvlText w:val="%1."/>
      <w:rPr>
        <w:color w:val="3370ff"/>
      </w:rPr>
    </w:lvl>
  </w:abstractNum>
  <w:abstractNum w:abstractNumId="1147886">
    <w:lvl>
      <w:start w:val="2"/>
      <w:numFmt w:val="decimal"/>
      <w:suff w:val="tab"/>
      <w:lvlText w:val="%1."/>
      <w:rPr>
        <w:color w:val="3370ff"/>
      </w:rPr>
    </w:lvl>
  </w:abstractNum>
  <w:abstractNum w:abstractNumId="1147887">
    <w:lvl>
      <w:start w:val="3"/>
      <w:numFmt w:val="decimal"/>
      <w:suff w:val="tab"/>
      <w:lvlText w:val="%1."/>
      <w:rPr>
        <w:color w:val="3370ff"/>
      </w:rPr>
    </w:lvl>
  </w:abstractNum>
  <w:abstractNum w:abstractNumId="1147888">
    <w:lvl>
      <w:start w:val="4"/>
      <w:numFmt w:val="decimal"/>
      <w:suff w:val="tab"/>
      <w:lvlText w:val="%1."/>
      <w:rPr>
        <w:color w:val="3370ff"/>
      </w:rPr>
    </w:lvl>
  </w:abstractNum>
  <w:abstractNum w:abstractNumId="1147889">
    <w:lvl>
      <w:numFmt w:val="bullet"/>
      <w:suff w:val="tab"/>
      <w:lvlText w:val="•"/>
      <w:rPr>
        <w:color w:val="3370ff"/>
      </w:rPr>
    </w:lvl>
  </w:abstractNum>
  <w:abstractNum w:abstractNumId="1147890">
    <w:lvl>
      <w:numFmt w:val="bullet"/>
      <w:suff w:val="tab"/>
      <w:lvlText w:val="•"/>
      <w:rPr>
        <w:color w:val="3370ff"/>
      </w:rPr>
    </w:lvl>
  </w:abstractNum>
  <w:abstractNum w:abstractNumId="1147891">
    <w:lvl>
      <w:start w:val="1"/>
      <w:numFmt w:val="decimal"/>
      <w:suff w:val="tab"/>
      <w:lvlText w:val="%1."/>
      <w:rPr>
        <w:color w:val="3370ff"/>
      </w:rPr>
    </w:lvl>
  </w:abstractNum>
  <w:abstractNum w:abstractNumId="1147892">
    <w:lvl>
      <w:start w:val="2"/>
      <w:numFmt w:val="decimal"/>
      <w:suff w:val="tab"/>
      <w:lvlText w:val="%1."/>
      <w:rPr>
        <w:color w:val="3370ff"/>
      </w:rPr>
    </w:lvl>
  </w:abstractNum>
  <w:abstractNum w:abstractNumId="1147893">
    <w:lvl>
      <w:start w:val="3"/>
      <w:numFmt w:val="decimal"/>
      <w:suff w:val="tab"/>
      <w:lvlText w:val="%1."/>
      <w:rPr>
        <w:color w:val="3370ff"/>
      </w:rPr>
    </w:lvl>
  </w:abstractNum>
  <w:abstractNum w:abstractNumId="1147894">
    <w:lvl>
      <w:start w:val="1"/>
      <w:numFmt w:val="decimal"/>
      <w:suff w:val="tab"/>
      <w:lvlText w:val="%1."/>
      <w:rPr>
        <w:color w:val="3370ff"/>
      </w:rPr>
    </w:lvl>
  </w:abstractNum>
  <w:abstractNum w:abstractNumId="1147895">
    <w:lvl>
      <w:start w:val="2"/>
      <w:numFmt w:val="decimal"/>
      <w:suff w:val="tab"/>
      <w:lvlText w:val="%1."/>
      <w:rPr>
        <w:color w:val="3370ff"/>
      </w:rPr>
    </w:lvl>
  </w:abstractNum>
  <w:abstractNum w:abstractNumId="1147896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1147878"/>
  </w:num>
  <w:num w:numId="2">
    <w:abstractNumId w:val="1147879"/>
  </w:num>
  <w:num w:numId="3">
    <w:abstractNumId w:val="1147880"/>
  </w:num>
  <w:num w:numId="4">
    <w:abstractNumId w:val="1147881"/>
  </w:num>
  <w:num w:numId="5">
    <w:abstractNumId w:val="1147882"/>
  </w:num>
  <w:num w:numId="6">
    <w:abstractNumId w:val="1147883"/>
  </w:num>
  <w:num w:numId="7">
    <w:abstractNumId w:val="1147884"/>
  </w:num>
  <w:num w:numId="8">
    <w:abstractNumId w:val="1147885"/>
  </w:num>
  <w:num w:numId="9">
    <w:abstractNumId w:val="1147886"/>
  </w:num>
  <w:num w:numId="10">
    <w:abstractNumId w:val="1147887"/>
  </w:num>
  <w:num w:numId="11">
    <w:abstractNumId w:val="1147888"/>
  </w:num>
  <w:num w:numId="12">
    <w:abstractNumId w:val="1147889"/>
  </w:num>
  <w:num w:numId="13">
    <w:abstractNumId w:val="1147890"/>
  </w:num>
  <w:num w:numId="14">
    <w:abstractNumId w:val="1147891"/>
  </w:num>
  <w:num w:numId="15">
    <w:abstractNumId w:val="1147892"/>
  </w:num>
  <w:num w:numId="16">
    <w:abstractNumId w:val="1147893"/>
  </w:num>
  <w:num w:numId="17">
    <w:abstractNumId w:val="1147894"/>
  </w:num>
  <w:num w:numId="18">
    <w:abstractNumId w:val="1147895"/>
  </w:num>
  <w:num w:numId="19">
    <w:abstractNumId w:val="1147896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2026-03-26T12:45:51Z</dcterms:created>
  <dc:creator>Apache POI</dc:creator>
</cp:coreProperties>
</file>