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红仓·完美文创公园改造项目抗震性能分析报告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报告编号</w:t>
      </w:r>
      <w:r>
        <w:rPr>
          <w:rFonts w:eastAsia="等线" w:ascii="Arial" w:cs="Arial" w:hAnsi="Arial"/>
          <w:sz w:val="22"/>
        </w:rPr>
        <w:t>：CDKJ-2024-128</w:t>
        <w:br/>
      </w:r>
      <w:r>
        <w:rPr>
          <w:rFonts w:eastAsia="等线" w:ascii="Arial" w:cs="Arial" w:hAnsi="Arial"/>
          <w:b w:val="true"/>
          <w:sz w:val="22"/>
        </w:rPr>
        <w:t>分析类别</w:t>
      </w:r>
      <w:r>
        <w:rPr>
          <w:rFonts w:eastAsia="等线" w:ascii="Arial" w:cs="Arial" w:hAnsi="Arial"/>
          <w:sz w:val="22"/>
        </w:rPr>
        <w:t>：旧改建筑抗震性能复核与评价</w:t>
        <w:br/>
      </w:r>
      <w:r>
        <w:rPr>
          <w:rFonts w:eastAsia="等线" w:ascii="Arial" w:cs="Arial" w:hAnsi="Arial"/>
          <w:b w:val="true"/>
          <w:sz w:val="22"/>
        </w:rPr>
        <w:t>分析单位</w:t>
      </w:r>
      <w:r>
        <w:rPr>
          <w:rFonts w:eastAsia="等线" w:ascii="Arial" w:cs="Arial" w:hAnsi="Arial"/>
          <w:sz w:val="22"/>
        </w:rPr>
        <w:t>：成都华建结构设计事务所</w:t>
        <w:br/>
      </w:r>
      <w:r>
        <w:rPr>
          <w:rFonts w:eastAsia="等线" w:ascii="Arial" w:cs="Arial" w:hAnsi="Arial"/>
          <w:b w:val="true"/>
          <w:sz w:val="22"/>
        </w:rPr>
        <w:t>提交日期</w:t>
      </w:r>
      <w:r>
        <w:rPr>
          <w:rFonts w:eastAsia="等线" w:ascii="Arial" w:cs="Arial" w:hAnsi="Arial"/>
          <w:sz w:val="22"/>
        </w:rPr>
        <w:t>：2024 年 5 月 25 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一、项目概况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基本信息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本项目为红仓・完美文创公园改造项目，原有建筑为上世纪 80 年代建成的 2 层砖混结构工业厂房，采用横墙承重体系，预制钢筋混凝土楼板，建筑总高度 7.2m。本次改造仅进行内部功能调整，无加层、无大规模结构改动，改造后功能为文创办公、展示与配套商业，建筑总荷载增量小于 10%，未改变主体结构的受力体系。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分析目的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复核原有主体结构的抗震性能，验证其是否满足现行抗震规范的要求；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评价场地的地震效应对建筑抗震的影响；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分析改造工程对建筑抗震性能的影响，为项目改造提供抗震安全依据。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二、抗震设防依据与参数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2.1 分析依据</w:t>
      </w:r>
      <w:bookmarkEnd w:id="4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《建筑抗震设计规范》（GB50011-2010，2016 年版）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《砌体结构设计规范》（GB50003-2011）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《建筑抗震鉴定标准》（GB50023-2009）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《中国地震动参数区划图》（GB18306-2015）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项目工程地质勘查报告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原有建筑结构检测报告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2.2 抗震设防参数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根据项目场地的地质条件与区域抗震要求，本项目的抗震设防参数如下：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参数项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取值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抗震设防烈度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 度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设计基本地震加速度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0.10g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设计地震分组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第二组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场地类别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Ⅱ 类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特征周期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0.40s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抗震设防类别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标准设防类（丙类）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三、场地地震效应评价</w:t>
      </w:r>
      <w:bookmarkEnd w:id="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3.1 场地稳定性评价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项目场地位于成都平原东部台地区域，区域地质构造稳定，距离龙门山活动断裂带约 60km，距离蒲江 - 新津断裂带约 45km，场地内未发现断裂构造、褶皱等不良地质构造。</w:t>
        <w:br/>
      </w:r>
      <w:r>
        <w:rPr>
          <w:rFonts w:eastAsia="等线" w:ascii="Arial" w:cs="Arial" w:hAnsi="Arial"/>
          <w:sz w:val="22"/>
        </w:rPr>
        <w:t>场地及周边范围内无滑坡、崩塌、泥石流、岩溶、土洞等不良地质作用，也无地下采空区等人工隐患，场地整体稳定性良好，属于对建筑抗震有利的地段。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3.2 地震液化判别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根据地质勘查结果，场地内的饱和粉土、砂土埋深大于 5m，经标准贯入试验判别，所有土层的标贯击数均大于液化判别临界值，</w:t>
      </w:r>
      <w:r>
        <w:rPr>
          <w:rFonts w:eastAsia="等线" w:ascii="Arial" w:cs="Arial" w:hAnsi="Arial"/>
          <w:b w:val="true"/>
          <w:sz w:val="22"/>
        </w:rPr>
        <w:t>场地内无地震液化土层</w:t>
      </w:r>
      <w:r>
        <w:rPr>
          <w:rFonts w:eastAsia="等线" w:ascii="Arial" w:cs="Arial" w:hAnsi="Arial"/>
          <w:sz w:val="22"/>
        </w:rPr>
        <w:t>，不存在地震液化风险，无需采取液化处理措施。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3.3 场地卓越周期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根据场地土层的剪切波速测试，场地的卓越周期为 0.28s，远小于建筑的基本自振周期（0.35s），不存在共振风险，可有效降低地震对建筑的影响。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四、主体结构抗震性能复核</w:t>
      </w:r>
      <w:bookmarkEnd w:id="1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4.1 结构体系抗震适应性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原有建筑为横墙承重的砖混结构，横墙间距为 3.3m，远小于《建筑抗震设计规范》中 7 度设防下砖混结构横墙间距的限值（18m），结构的整体性良好，水平地震作用可有效通过横墙传递到基础，符合抗震结构的体系要求。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4.2 墙体抗震受剪承载力验算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选取最不利的底层横墙进行抗震受剪承载力验算，参数如下：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墙体厚度：240mm，墙高：3.6m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材料强度：烧结普通砖 MU10，混合砂浆 M5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抗震承载力调整系数：γRE=0.9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计算结果：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墙体的抗震受剪承载力设计值：fvEA/γRE = 126kN/m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墙体的地震剪力设计值：V=82kN/m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验算结果：V=82kN/m &lt; 126kN/m，</w:t>
      </w:r>
      <w:r>
        <w:rPr>
          <w:rFonts w:eastAsia="等线" w:ascii="Arial" w:cs="Arial" w:hAnsi="Arial"/>
          <w:b w:val="true"/>
          <w:sz w:val="22"/>
        </w:rPr>
        <w:t>抗震受剪承载力满足要求</w:t>
      </w:r>
      <w:r>
        <w:rPr>
          <w:rFonts w:eastAsia="等线" w:ascii="Arial" w:cs="Arial" w:hAnsi="Arial"/>
          <w:sz w:val="22"/>
        </w:rPr>
        <w:t>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4.3 墙体高厚比验算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原有墙体的高厚比 β=15，规范中 7 度设防下砖混结构墙体的允许高厚比 [β]=24，β=15 &lt; 24，满足要求，墙体的稳定性良好，可有效抵御地震作用下的侧向变形。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4.4 构造措施复核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原有建筑为上世纪 80 年代的工业厂房，设置了完整的圈梁体系，每层均设置了钢筋混凝土圈梁，增强了楼盖与墙体的整体性；同时，横墙与纵墙交接处设置了拉结筋，增强了墙体的连接性能，满足 7 度设防下的抗震构造要求。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五、改造工程抗震影响分析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5.1 荷载影响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本次改造仅进行内部功能调整，无加层，改造后的建筑总荷载增量小于 10%，且新增的隔墙均采用轻质隔墙，未增加主体结构的荷载，对结构的地震作用影响极小，原有结构的抗震承载力可完全覆盖改造后的荷载需求。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5.2 围护结构影响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改造新增的纳米绝热板、相变储能层等围护结构均为轻质材料，面荷载小于 0.5kN/㎡，未增加主体结构的质量，不会增大结构的地震作用，同时轻质围护结构在地震中不易脱落，可有效降低次生灾害风险。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5.3 结构改动影响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本次改造未改动主体结构的墙体、梁柱等承重构件，未破坏原有结构的整体性与抗震构造措施，改造后结构的抗震体系与原有结构保持一致，未降低结构的抗震性能。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六、抗震性能分析结论</w:t>
      </w:r>
      <w:bookmarkEnd w:id="19"/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项目场地地质条件稳定，无地震液化风险，属于对建筑抗震有利的地段，场地的地震效应良好；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原有主体结构的抗震受剪承载力、高厚比均满足 7 度设防的要求，构造措施符合规范要求，原有结构的抗震性能可满足现行抗震标准；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本次改造未改变主体结构的受力体系，未增加结构的地震作用，改造后结构的抗震性能未降低，仍可满足 7 度设防的要求；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项目改造无需进行额外的抗震加固，原有结构可直接利用，改造后的建筑抗震性能安全、合规，可保障地震作用下的人员安全。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9807126">
    <w:lvl>
      <w:start w:val="1"/>
      <w:numFmt w:val="decimal"/>
      <w:suff w:val="tab"/>
      <w:lvlText w:val="%1."/>
      <w:rPr>
        <w:color w:val="3370ff"/>
      </w:rPr>
    </w:lvl>
  </w:abstractNum>
  <w:abstractNum w:abstractNumId="19807127">
    <w:lvl>
      <w:start w:val="2"/>
      <w:numFmt w:val="decimal"/>
      <w:suff w:val="tab"/>
      <w:lvlText w:val="%1."/>
      <w:rPr>
        <w:color w:val="3370ff"/>
      </w:rPr>
    </w:lvl>
  </w:abstractNum>
  <w:abstractNum w:abstractNumId="19807128">
    <w:lvl>
      <w:start w:val="3"/>
      <w:numFmt w:val="decimal"/>
      <w:suff w:val="tab"/>
      <w:lvlText w:val="%1."/>
      <w:rPr>
        <w:color w:val="3370ff"/>
      </w:rPr>
    </w:lvl>
  </w:abstractNum>
  <w:abstractNum w:abstractNumId="19807129">
    <w:lvl>
      <w:start w:val="1"/>
      <w:numFmt w:val="decimal"/>
      <w:suff w:val="tab"/>
      <w:lvlText w:val="%1."/>
      <w:rPr>
        <w:color w:val="3370ff"/>
      </w:rPr>
    </w:lvl>
  </w:abstractNum>
  <w:abstractNum w:abstractNumId="19807130">
    <w:lvl>
      <w:start w:val="2"/>
      <w:numFmt w:val="decimal"/>
      <w:suff w:val="tab"/>
      <w:lvlText w:val="%1."/>
      <w:rPr>
        <w:color w:val="3370ff"/>
      </w:rPr>
    </w:lvl>
  </w:abstractNum>
  <w:abstractNum w:abstractNumId="19807131">
    <w:lvl>
      <w:start w:val="3"/>
      <w:numFmt w:val="decimal"/>
      <w:suff w:val="tab"/>
      <w:lvlText w:val="%1."/>
      <w:rPr>
        <w:color w:val="3370ff"/>
      </w:rPr>
    </w:lvl>
  </w:abstractNum>
  <w:abstractNum w:abstractNumId="19807132">
    <w:lvl>
      <w:start w:val="4"/>
      <w:numFmt w:val="decimal"/>
      <w:suff w:val="tab"/>
      <w:lvlText w:val="%1."/>
      <w:rPr>
        <w:color w:val="3370ff"/>
      </w:rPr>
    </w:lvl>
  </w:abstractNum>
  <w:abstractNum w:abstractNumId="19807133">
    <w:lvl>
      <w:start w:val="5"/>
      <w:numFmt w:val="decimal"/>
      <w:suff w:val="tab"/>
      <w:lvlText w:val="%1."/>
      <w:rPr>
        <w:color w:val="3370ff"/>
      </w:rPr>
    </w:lvl>
  </w:abstractNum>
  <w:abstractNum w:abstractNumId="19807134">
    <w:lvl>
      <w:start w:val="6"/>
      <w:numFmt w:val="decimal"/>
      <w:suff w:val="tab"/>
      <w:lvlText w:val="%1."/>
      <w:rPr>
        <w:color w:val="3370ff"/>
      </w:rPr>
    </w:lvl>
  </w:abstractNum>
  <w:abstractNum w:abstractNumId="19807135">
    <w:lvl>
      <w:numFmt w:val="bullet"/>
      <w:suff w:val="tab"/>
      <w:lvlText w:val="•"/>
      <w:rPr>
        <w:color w:val="3370ff"/>
      </w:rPr>
    </w:lvl>
  </w:abstractNum>
  <w:abstractNum w:abstractNumId="19807136">
    <w:lvl>
      <w:numFmt w:val="bullet"/>
      <w:suff w:val="tab"/>
      <w:lvlText w:val="•"/>
      <w:rPr>
        <w:color w:val="3370ff"/>
      </w:rPr>
    </w:lvl>
  </w:abstractNum>
  <w:abstractNum w:abstractNumId="19807137">
    <w:lvl>
      <w:numFmt w:val="bullet"/>
      <w:suff w:val="tab"/>
      <w:lvlText w:val="•"/>
      <w:rPr>
        <w:color w:val="3370ff"/>
      </w:rPr>
    </w:lvl>
  </w:abstractNum>
  <w:abstractNum w:abstractNumId="19807138">
    <w:lvl>
      <w:start w:val="1"/>
      <w:numFmt w:val="decimal"/>
      <w:suff w:val="tab"/>
      <w:lvlText w:val="%1."/>
      <w:rPr>
        <w:color w:val="3370ff"/>
      </w:rPr>
    </w:lvl>
  </w:abstractNum>
  <w:abstractNum w:abstractNumId="19807139">
    <w:lvl>
      <w:start w:val="2"/>
      <w:numFmt w:val="decimal"/>
      <w:suff w:val="tab"/>
      <w:lvlText w:val="%1."/>
      <w:rPr>
        <w:color w:val="3370ff"/>
      </w:rPr>
    </w:lvl>
  </w:abstractNum>
  <w:abstractNum w:abstractNumId="19807140">
    <w:lvl>
      <w:start w:val="3"/>
      <w:numFmt w:val="decimal"/>
      <w:suff w:val="tab"/>
      <w:lvlText w:val="%1."/>
      <w:rPr>
        <w:color w:val="3370ff"/>
      </w:rPr>
    </w:lvl>
  </w:abstractNum>
  <w:abstractNum w:abstractNumId="19807141">
    <w:lvl>
      <w:start w:val="1"/>
      <w:numFmt w:val="decimal"/>
      <w:suff w:val="tab"/>
      <w:lvlText w:val="%1."/>
      <w:rPr>
        <w:color w:val="3370ff"/>
      </w:rPr>
    </w:lvl>
  </w:abstractNum>
  <w:abstractNum w:abstractNumId="19807142">
    <w:lvl>
      <w:start w:val="2"/>
      <w:numFmt w:val="decimal"/>
      <w:suff w:val="tab"/>
      <w:lvlText w:val="%1."/>
      <w:rPr>
        <w:color w:val="3370ff"/>
      </w:rPr>
    </w:lvl>
  </w:abstractNum>
  <w:abstractNum w:abstractNumId="19807143">
    <w:lvl>
      <w:start w:val="3"/>
      <w:numFmt w:val="decimal"/>
      <w:suff w:val="tab"/>
      <w:lvlText w:val="%1."/>
      <w:rPr>
        <w:color w:val="3370ff"/>
      </w:rPr>
    </w:lvl>
  </w:abstractNum>
  <w:abstractNum w:abstractNumId="19807144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19807126"/>
  </w:num>
  <w:num w:numId="2">
    <w:abstractNumId w:val="19807127"/>
  </w:num>
  <w:num w:numId="3">
    <w:abstractNumId w:val="19807128"/>
  </w:num>
  <w:num w:numId="4">
    <w:abstractNumId w:val="19807129"/>
  </w:num>
  <w:num w:numId="5">
    <w:abstractNumId w:val="19807130"/>
  </w:num>
  <w:num w:numId="6">
    <w:abstractNumId w:val="19807131"/>
  </w:num>
  <w:num w:numId="7">
    <w:abstractNumId w:val="19807132"/>
  </w:num>
  <w:num w:numId="8">
    <w:abstractNumId w:val="19807133"/>
  </w:num>
  <w:num w:numId="9">
    <w:abstractNumId w:val="19807134"/>
  </w:num>
  <w:num w:numId="10">
    <w:abstractNumId w:val="19807135"/>
  </w:num>
  <w:num w:numId="11">
    <w:abstractNumId w:val="19807136"/>
  </w:num>
  <w:num w:numId="12">
    <w:abstractNumId w:val="19807137"/>
  </w:num>
  <w:num w:numId="13">
    <w:abstractNumId w:val="19807138"/>
  </w:num>
  <w:num w:numId="14">
    <w:abstractNumId w:val="19807139"/>
  </w:num>
  <w:num w:numId="15">
    <w:abstractNumId w:val="19807140"/>
  </w:num>
  <w:num w:numId="16">
    <w:abstractNumId w:val="19807141"/>
  </w:num>
  <w:num w:numId="17">
    <w:abstractNumId w:val="19807142"/>
  </w:num>
  <w:num w:numId="18">
    <w:abstractNumId w:val="19807143"/>
  </w:num>
  <w:num w:numId="19">
    <w:abstractNumId w:val="19807144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2026-03-26T13:21:48Z</dcterms:created>
  <dc:creator>Apache POI</dc:creator>
</cp:coreProperties>
</file>