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53328A0F">
      <w:pPr>
        <w:spacing w:before="234"/>
        <w:ind w:left="790" w:right="790"/>
        <w:jc w:val="center"/>
        <w:rPr>
          <w:rFonts w:ascii="宋体" w:hAnsi="宋体" w:eastAsia="宋体"/>
        </w:rPr>
      </w:pPr>
    </w:p>
    <w:p w14:paraId="61C679E0">
      <w:pPr>
        <w:spacing w:before="234"/>
        <w:ind w:left="790" w:right="790"/>
        <w:jc w:val="center"/>
        <w:rPr>
          <w:rFonts w:ascii="宋体" w:hAnsi="宋体" w:eastAsia="宋体"/>
        </w:rPr>
      </w:pPr>
    </w:p>
    <w:p w14:paraId="66A1CD40">
      <w:pPr>
        <w:spacing w:before="234"/>
        <w:ind w:left="790" w:right="790"/>
        <w:jc w:val="center"/>
        <w:rPr>
          <w:rFonts w:ascii="宋体" w:hAnsi="宋体" w:eastAsia="宋体"/>
        </w:rPr>
      </w:pPr>
    </w:p>
    <w:p w14:paraId="345AA443">
      <w:pPr>
        <w:spacing w:before="234"/>
        <w:ind w:left="790" w:right="790"/>
        <w:jc w:val="center"/>
        <w:rPr>
          <w:rFonts w:asciiTheme="majorEastAsia" w:hAnsiTheme="majorEastAsia" w:eastAsiaTheme="majorEastAsia" w:cstheme="majorEastAsia"/>
          <w:sz w:val="36"/>
        </w:rPr>
      </w:pPr>
      <w:r>
        <w:rPr>
          <w:rFonts w:hint="eastAsia" w:asciiTheme="majorEastAsia" w:hAnsiTheme="majorEastAsia" w:eastAsiaTheme="majorEastAsia" w:cstheme="majorEastAsia"/>
          <w:sz w:val="36"/>
        </w:rPr>
        <w:t>XXX项目</w:t>
      </w:r>
    </w:p>
    <w:p w14:paraId="011C6332">
      <w:pPr>
        <w:pStyle w:val="5"/>
        <w:ind w:firstLine="400"/>
        <w:rPr>
          <w:rFonts w:ascii="Calibri"/>
          <w:sz w:val="20"/>
        </w:rPr>
      </w:pPr>
    </w:p>
    <w:p w14:paraId="66608CAB">
      <w:pPr>
        <w:ind w:right="790"/>
        <w:rPr>
          <w:rFonts w:ascii="黑体" w:eastAsia="黑体"/>
          <w:b/>
          <w:bCs/>
          <w:sz w:val="48"/>
        </w:rPr>
      </w:pPr>
    </w:p>
    <w:p w14:paraId="03AD0315">
      <w:pPr>
        <w:ind w:right="790"/>
        <w:jc w:val="center"/>
        <w:rPr>
          <w:rFonts w:ascii="黑体" w:eastAsia="黑体"/>
          <w:b/>
          <w:bCs/>
          <w:sz w:val="48"/>
        </w:rPr>
      </w:pPr>
      <w:r>
        <w:rPr>
          <w:rFonts w:hint="eastAsia" w:ascii="黑体" w:eastAsia="黑体"/>
          <w:b/>
          <w:bCs/>
          <w:sz w:val="48"/>
        </w:rPr>
        <w:t>水资源利用方案报告模板</w:t>
      </w:r>
    </w:p>
    <w:p w14:paraId="2B82DE17">
      <w:pPr>
        <w:widowControl/>
        <w:jc w:val="left"/>
        <w:rPr>
          <w:rFonts w:ascii="Times New Roman" w:hAnsi="Times New Roman" w:eastAsia="宋体"/>
        </w:rPr>
      </w:pPr>
    </w:p>
    <w:p w14:paraId="23BA70F6">
      <w:pPr>
        <w:widowControl/>
        <w:jc w:val="left"/>
        <w:rPr>
          <w:rFonts w:ascii="Times New Roman" w:hAnsi="Times New Roman" w:eastAsia="宋体"/>
        </w:rPr>
      </w:pPr>
    </w:p>
    <w:p w14:paraId="0AA4BA82">
      <w:pPr>
        <w:widowControl/>
        <w:jc w:val="left"/>
        <w:rPr>
          <w:rFonts w:ascii="Times New Roman" w:hAnsi="Times New Roman" w:eastAsia="宋体"/>
        </w:rPr>
      </w:pPr>
    </w:p>
    <w:p w14:paraId="3786CE9C">
      <w:pPr>
        <w:widowControl/>
        <w:jc w:val="left"/>
        <w:rPr>
          <w:rFonts w:ascii="Times New Roman" w:hAnsi="Times New Roman" w:eastAsia="宋体"/>
        </w:rPr>
      </w:pPr>
    </w:p>
    <w:p w14:paraId="7E85B106">
      <w:pPr>
        <w:widowControl/>
        <w:jc w:val="left"/>
        <w:rPr>
          <w:rFonts w:ascii="Times New Roman" w:hAnsi="Times New Roman" w:eastAsia="宋体"/>
        </w:rPr>
      </w:pPr>
    </w:p>
    <w:p w14:paraId="5EAF2FE3">
      <w:pPr>
        <w:widowControl/>
        <w:jc w:val="left"/>
        <w:rPr>
          <w:rFonts w:ascii="Times New Roman" w:hAnsi="Times New Roman" w:eastAsia="宋体"/>
        </w:rPr>
      </w:pPr>
    </w:p>
    <w:p w14:paraId="61AE2D8A">
      <w:pPr>
        <w:widowControl/>
        <w:jc w:val="left"/>
        <w:rPr>
          <w:rFonts w:ascii="Times New Roman" w:hAnsi="Times New Roman" w:eastAsia="宋体"/>
        </w:rPr>
      </w:pPr>
    </w:p>
    <w:p w14:paraId="6D9EF79A">
      <w:pPr>
        <w:widowControl/>
        <w:jc w:val="left"/>
        <w:rPr>
          <w:rFonts w:ascii="Times New Roman" w:hAnsi="Times New Roman" w:eastAsia="宋体"/>
        </w:rPr>
      </w:pPr>
    </w:p>
    <w:p w14:paraId="6286C83A">
      <w:pPr>
        <w:widowControl/>
        <w:jc w:val="left"/>
        <w:rPr>
          <w:rFonts w:ascii="Times New Roman" w:hAnsi="Times New Roman" w:eastAsia="宋体"/>
        </w:rPr>
      </w:pPr>
    </w:p>
    <w:p w14:paraId="712F1762">
      <w:pPr>
        <w:widowControl/>
        <w:jc w:val="left"/>
        <w:rPr>
          <w:rFonts w:ascii="Times New Roman" w:hAnsi="Times New Roman" w:eastAsia="宋体"/>
        </w:rPr>
      </w:pPr>
    </w:p>
    <w:p w14:paraId="1C4191A3">
      <w:pPr>
        <w:widowControl/>
        <w:jc w:val="left"/>
        <w:rPr>
          <w:rFonts w:ascii="Times New Roman" w:hAnsi="Times New Roman" w:eastAsia="宋体"/>
        </w:rPr>
      </w:pPr>
    </w:p>
    <w:p w14:paraId="258D59BF">
      <w:pPr>
        <w:widowControl/>
        <w:jc w:val="left"/>
        <w:rPr>
          <w:rFonts w:ascii="Times New Roman" w:hAnsi="Times New Roman" w:eastAsia="宋体"/>
        </w:rPr>
      </w:pPr>
    </w:p>
    <w:p w14:paraId="714245A0">
      <w:pPr>
        <w:widowControl/>
        <w:jc w:val="left"/>
        <w:rPr>
          <w:rFonts w:ascii="Times New Roman" w:hAnsi="Times New Roman" w:eastAsia="宋体"/>
        </w:rPr>
      </w:pPr>
    </w:p>
    <w:p w14:paraId="4B452F05">
      <w:pPr>
        <w:widowControl/>
        <w:jc w:val="left"/>
        <w:rPr>
          <w:rFonts w:ascii="Times New Roman" w:hAnsi="Times New Roman" w:eastAsia="宋体"/>
        </w:rPr>
      </w:pPr>
    </w:p>
    <w:p w14:paraId="6729DDA4">
      <w:pPr>
        <w:widowControl/>
        <w:jc w:val="left"/>
        <w:rPr>
          <w:rFonts w:ascii="Times New Roman" w:hAnsi="Times New Roman" w:eastAsia="宋体"/>
        </w:rPr>
      </w:pPr>
    </w:p>
    <w:p w14:paraId="4ABD67D1">
      <w:pPr>
        <w:widowControl/>
        <w:jc w:val="left"/>
        <w:rPr>
          <w:rFonts w:ascii="Times New Roman" w:hAnsi="Times New Roman" w:eastAsia="宋体"/>
        </w:rPr>
      </w:pPr>
    </w:p>
    <w:p w14:paraId="0FE28A2C">
      <w:pPr>
        <w:widowControl/>
        <w:jc w:val="left"/>
        <w:rPr>
          <w:rFonts w:ascii="Times New Roman" w:hAnsi="Times New Roman" w:eastAsia="宋体"/>
        </w:rPr>
      </w:pPr>
    </w:p>
    <w:p w14:paraId="4DD5550F">
      <w:pPr>
        <w:widowControl/>
        <w:jc w:val="left"/>
        <w:rPr>
          <w:rFonts w:ascii="Times New Roman" w:hAnsi="Times New Roman" w:eastAsia="宋体"/>
        </w:rPr>
      </w:pPr>
    </w:p>
    <w:p w14:paraId="22CBF012">
      <w:pPr>
        <w:widowControl/>
        <w:jc w:val="left"/>
        <w:rPr>
          <w:rFonts w:ascii="Times New Roman" w:hAnsi="Times New Roman" w:eastAsia="宋体"/>
        </w:rPr>
      </w:pPr>
    </w:p>
    <w:p w14:paraId="352F61F7">
      <w:pPr>
        <w:widowControl/>
        <w:jc w:val="left"/>
        <w:rPr>
          <w:rFonts w:ascii="Times New Roman" w:hAnsi="Times New Roman" w:eastAsia="宋体"/>
        </w:rPr>
      </w:pPr>
    </w:p>
    <w:p w14:paraId="3D5E1FCD">
      <w:pPr>
        <w:widowControl/>
        <w:jc w:val="left"/>
        <w:rPr>
          <w:rFonts w:ascii="Times New Roman" w:hAnsi="Times New Roman" w:eastAsia="宋体"/>
        </w:rPr>
      </w:pPr>
    </w:p>
    <w:p w14:paraId="0BDF576A">
      <w:pPr>
        <w:widowControl/>
        <w:jc w:val="left"/>
        <w:rPr>
          <w:rFonts w:ascii="Times New Roman" w:hAnsi="Times New Roman" w:eastAsia="宋体"/>
        </w:rPr>
      </w:pPr>
    </w:p>
    <w:p w14:paraId="306BD084">
      <w:pPr>
        <w:widowControl/>
        <w:jc w:val="left"/>
        <w:rPr>
          <w:rFonts w:ascii="Times New Roman" w:hAnsi="Times New Roman" w:eastAsia="宋体"/>
        </w:rPr>
      </w:pPr>
    </w:p>
    <w:p w14:paraId="6C8BCCC1">
      <w:pPr>
        <w:pStyle w:val="5"/>
        <w:ind w:firstLine="600"/>
        <w:jc w:val="center"/>
        <w:rPr>
          <w:rFonts w:ascii="黑体" w:eastAsia="黑体"/>
          <w:sz w:val="30"/>
          <w:szCs w:val="30"/>
        </w:rPr>
      </w:pPr>
      <w:r>
        <w:rPr>
          <w:rFonts w:hint="eastAsia" w:ascii="黑体" w:eastAsia="黑体"/>
          <w:sz w:val="30"/>
          <w:szCs w:val="30"/>
        </w:rPr>
        <w:t>北京绿建软件股份有限公司</w:t>
      </w:r>
    </w:p>
    <w:p w14:paraId="696FF723">
      <w:pPr>
        <w:adjustRightInd w:val="0"/>
        <w:snapToGrid w:val="0"/>
        <w:spacing w:before="120"/>
        <w:jc w:val="center"/>
        <w:rPr>
          <w:rFonts w:ascii="微软雅黑" w:hAnsi="微软雅黑" w:eastAsia="微软雅黑"/>
          <w:sz w:val="24"/>
        </w:rPr>
      </w:pPr>
      <w:r>
        <w:rPr>
          <w:rFonts w:ascii="Times New Roman" w:hAnsi="Times New Roman" w:eastAsia="黑体" w:cs="Times New Roman"/>
          <w:sz w:val="30"/>
          <w:szCs w:val="30"/>
        </w:rPr>
        <w:t>202</w:t>
      </w:r>
      <w:r>
        <w:rPr>
          <w:rFonts w:hint="eastAsia" w:ascii="Times New Roman" w:hAnsi="Times New Roman" w:eastAsia="黑体" w:cs="Times New Roman"/>
          <w:sz w:val="30"/>
          <w:szCs w:val="30"/>
        </w:rPr>
        <w:t>1</w:t>
      </w:r>
      <w:r>
        <w:rPr>
          <w:rFonts w:ascii="Times New Roman" w:hAnsi="Times New Roman" w:eastAsia="黑体" w:cs="Times New Roman"/>
          <w:sz w:val="30"/>
          <w:szCs w:val="30"/>
        </w:rPr>
        <w:t xml:space="preserve"> 年 </w:t>
      </w:r>
      <w:r>
        <w:rPr>
          <w:rFonts w:hint="eastAsia" w:ascii="Times New Roman" w:hAnsi="Times New Roman" w:eastAsia="黑体" w:cs="Times New Roman"/>
          <w:sz w:val="30"/>
          <w:szCs w:val="30"/>
        </w:rPr>
        <w:t>1</w:t>
      </w:r>
      <w:r>
        <w:rPr>
          <w:rFonts w:ascii="Times New Roman" w:hAnsi="Times New Roman" w:eastAsia="黑体" w:cs="Times New Roman"/>
          <w:sz w:val="30"/>
          <w:szCs w:val="30"/>
        </w:rPr>
        <w:t xml:space="preserve"> 月</w:t>
      </w:r>
    </w:p>
    <w:p w14:paraId="5B9DB200">
      <w:pPr>
        <w:widowControl/>
        <w:jc w:val="left"/>
        <w:rPr>
          <w:rFonts w:ascii="Times New Roman" w:hAnsi="Times New Roman" w:eastAsia="宋体"/>
        </w:rPr>
      </w:pPr>
      <w:r>
        <w:rPr>
          <w:rFonts w:ascii="Times New Roman" w:hAnsi="Times New Roman" w:eastAsia="宋体"/>
        </w:rPr>
        <w:br w:type="page"/>
      </w:r>
    </w:p>
    <w:sdt>
      <w:sdtPr>
        <w:rPr>
          <w:rFonts w:asciiTheme="minorHAnsi" w:hAnsiTheme="minorHAnsi" w:eastAsiaTheme="minorEastAsia" w:cstheme="minorBidi"/>
          <w:color w:val="auto"/>
          <w:kern w:val="2"/>
          <w:sz w:val="21"/>
          <w:szCs w:val="22"/>
          <w:lang w:val="zh-CN"/>
        </w:rPr>
        <w:id w:val="1022984560"/>
        <w:docPartObj>
          <w:docPartGallery w:val="Table of Contents"/>
          <w:docPartUnique/>
        </w:docPartObj>
      </w:sdtPr>
      <w:sdtEndPr>
        <w:rPr>
          <w:rFonts w:asciiTheme="minorHAnsi" w:hAnsiTheme="minorHAnsi" w:eastAsiaTheme="minorEastAsia" w:cstheme="minorBidi"/>
          <w:b/>
          <w:bCs/>
          <w:color w:val="auto"/>
          <w:kern w:val="2"/>
          <w:sz w:val="21"/>
          <w:szCs w:val="22"/>
          <w:lang w:val="zh-CN"/>
        </w:rPr>
      </w:sdtEndPr>
      <w:sdtContent>
        <w:p w14:paraId="1CB9BFF0">
          <w:pPr>
            <w:pStyle w:val="24"/>
            <w:jc w:val="center"/>
          </w:pPr>
          <w:r>
            <w:rPr>
              <w:lang w:val="zh-CN"/>
            </w:rPr>
            <w:t>目录</w:t>
          </w:r>
        </w:p>
        <w:p w14:paraId="249C0C6D">
          <w:pPr>
            <w:pStyle w:val="10"/>
            <w:tabs>
              <w:tab w:val="right" w:leader="dot" w:pos="8296"/>
            </w:tabs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r>
            <w:fldChar w:fldCharType="begin"/>
          </w:r>
          <w:r>
            <w:instrText xml:space="preserve"> HYPERLINK \l "_Toc61956665" </w:instrText>
          </w:r>
          <w:r>
            <w:fldChar w:fldCharType="separate"/>
          </w:r>
          <w:r>
            <w:rPr>
              <w:rStyle w:val="15"/>
              <w:rFonts w:ascii="Times New Roman" w:hAnsi="Times New Roman" w:eastAsia="宋体"/>
            </w:rPr>
            <w:t>一、项目概况</w:t>
          </w:r>
          <w:r>
            <w:tab/>
          </w:r>
          <w:r>
            <w:fldChar w:fldCharType="begin"/>
          </w:r>
          <w:r>
            <w:instrText xml:space="preserve"> PAGEREF _Toc61956665 \h </w:instrText>
          </w:r>
          <w:r>
            <w:fldChar w:fldCharType="separate"/>
          </w:r>
          <w:r>
            <w:t>3</w:t>
          </w:r>
          <w:r>
            <w:fldChar w:fldCharType="end"/>
          </w:r>
          <w:r>
            <w:fldChar w:fldCharType="end"/>
          </w:r>
        </w:p>
        <w:p w14:paraId="1115A94D">
          <w:pPr>
            <w:pStyle w:val="10"/>
            <w:tabs>
              <w:tab w:val="right" w:leader="dot" w:pos="8296"/>
            </w:tabs>
          </w:pPr>
          <w:r>
            <w:fldChar w:fldCharType="begin"/>
          </w:r>
          <w:r>
            <w:instrText xml:space="preserve"> HYPERLINK \l "_Toc61956666" </w:instrText>
          </w:r>
          <w:r>
            <w:fldChar w:fldCharType="separate"/>
          </w:r>
          <w:r>
            <w:rPr>
              <w:rStyle w:val="15"/>
              <w:rFonts w:ascii="Times New Roman" w:hAnsi="Times New Roman" w:eastAsia="宋体"/>
            </w:rPr>
            <w:t>二、政策及环境分析</w:t>
          </w:r>
          <w:r>
            <w:tab/>
          </w:r>
          <w:r>
            <w:fldChar w:fldCharType="begin"/>
          </w:r>
          <w:r>
            <w:instrText xml:space="preserve"> PAGEREF _Toc61956666 \h </w:instrText>
          </w:r>
          <w:r>
            <w:fldChar w:fldCharType="separate"/>
          </w:r>
          <w:r>
            <w:t>4</w:t>
          </w:r>
          <w:r>
            <w:fldChar w:fldCharType="end"/>
          </w:r>
          <w:r>
            <w:fldChar w:fldCharType="end"/>
          </w:r>
        </w:p>
        <w:p w14:paraId="417BBE59">
          <w:pPr>
            <w:pStyle w:val="6"/>
            <w:tabs>
              <w:tab w:val="right" w:leader="dot" w:pos="8296"/>
            </w:tabs>
          </w:pPr>
          <w:r>
            <w:fldChar w:fldCharType="begin"/>
          </w:r>
          <w:r>
            <w:instrText xml:space="preserve"> HYPERLINK \l "_Toc61956667" </w:instrText>
          </w:r>
          <w:r>
            <w:fldChar w:fldCharType="separate"/>
          </w:r>
          <w:r>
            <w:rPr>
              <w:rStyle w:val="15"/>
              <w:rFonts w:ascii="Times New Roman" w:hAnsi="Times New Roman" w:eastAsia="宋体"/>
            </w:rPr>
            <w:t>2.1政策要求</w:t>
          </w:r>
          <w:r>
            <w:tab/>
          </w:r>
          <w:r>
            <w:fldChar w:fldCharType="begin"/>
          </w:r>
          <w:r>
            <w:instrText xml:space="preserve"> PAGEREF _Toc61956667 \h </w:instrText>
          </w:r>
          <w:r>
            <w:fldChar w:fldCharType="separate"/>
          </w:r>
          <w:r>
            <w:t>4</w:t>
          </w:r>
          <w:r>
            <w:fldChar w:fldCharType="end"/>
          </w:r>
          <w:r>
            <w:fldChar w:fldCharType="end"/>
          </w:r>
        </w:p>
        <w:p w14:paraId="35A6B8E1">
          <w:pPr>
            <w:pStyle w:val="6"/>
            <w:tabs>
              <w:tab w:val="right" w:leader="dot" w:pos="8296"/>
            </w:tabs>
          </w:pPr>
          <w:r>
            <w:fldChar w:fldCharType="begin"/>
          </w:r>
          <w:r>
            <w:instrText xml:space="preserve"> HYPERLINK \l "_Toc61956668" </w:instrText>
          </w:r>
          <w:r>
            <w:fldChar w:fldCharType="separate"/>
          </w:r>
          <w:r>
            <w:rPr>
              <w:rStyle w:val="15"/>
              <w:rFonts w:ascii="Times New Roman" w:hAnsi="Times New Roman" w:eastAsia="宋体"/>
            </w:rPr>
            <w:t>2.2水资源状况</w:t>
          </w:r>
          <w:r>
            <w:tab/>
          </w:r>
          <w:r>
            <w:fldChar w:fldCharType="begin"/>
          </w:r>
          <w:r>
            <w:instrText xml:space="preserve"> PAGEREF _Toc61956668 \h </w:instrText>
          </w:r>
          <w:r>
            <w:fldChar w:fldCharType="separate"/>
          </w:r>
          <w:r>
            <w:t>4</w:t>
          </w:r>
          <w:r>
            <w:fldChar w:fldCharType="end"/>
          </w:r>
          <w:r>
            <w:fldChar w:fldCharType="end"/>
          </w:r>
        </w:p>
        <w:p w14:paraId="4774BF18">
          <w:pPr>
            <w:pStyle w:val="6"/>
            <w:tabs>
              <w:tab w:val="right" w:leader="dot" w:pos="8296"/>
            </w:tabs>
          </w:pPr>
          <w:r>
            <w:fldChar w:fldCharType="begin"/>
          </w:r>
          <w:r>
            <w:instrText xml:space="preserve"> HYPERLINK \l "_Toc61956669" </w:instrText>
          </w:r>
          <w:r>
            <w:fldChar w:fldCharType="separate"/>
          </w:r>
          <w:r>
            <w:rPr>
              <w:rStyle w:val="15"/>
              <w:rFonts w:ascii="Times New Roman" w:hAnsi="Times New Roman" w:eastAsia="宋体"/>
            </w:rPr>
            <w:t>2.3气象资料</w:t>
          </w:r>
          <w:r>
            <w:tab/>
          </w:r>
          <w:r>
            <w:fldChar w:fldCharType="begin"/>
          </w:r>
          <w:r>
            <w:instrText xml:space="preserve"> PAGEREF _Toc61956669 \h </w:instrText>
          </w:r>
          <w:r>
            <w:fldChar w:fldCharType="separate"/>
          </w:r>
          <w:r>
            <w:t>4</w:t>
          </w:r>
          <w:r>
            <w:fldChar w:fldCharType="end"/>
          </w:r>
          <w:r>
            <w:fldChar w:fldCharType="end"/>
          </w:r>
        </w:p>
        <w:p w14:paraId="34A42199">
          <w:pPr>
            <w:pStyle w:val="10"/>
            <w:tabs>
              <w:tab w:val="right" w:leader="dot" w:pos="8296"/>
            </w:tabs>
          </w:pPr>
          <w:r>
            <w:fldChar w:fldCharType="begin"/>
          </w:r>
          <w:r>
            <w:instrText xml:space="preserve"> HYPERLINK \l "_Toc61956670" </w:instrText>
          </w:r>
          <w:r>
            <w:fldChar w:fldCharType="separate"/>
          </w:r>
          <w:r>
            <w:rPr>
              <w:rStyle w:val="15"/>
              <w:rFonts w:ascii="Times New Roman" w:hAnsi="Times New Roman" w:eastAsia="宋体"/>
            </w:rPr>
            <w:t>三、用水量估算</w:t>
          </w:r>
          <w:r>
            <w:tab/>
          </w:r>
          <w:r>
            <w:fldChar w:fldCharType="begin"/>
          </w:r>
          <w:r>
            <w:instrText xml:space="preserve"> PAGEREF _Toc61956670 \h </w:instrText>
          </w:r>
          <w:r>
            <w:fldChar w:fldCharType="separate"/>
          </w:r>
          <w:r>
            <w:t>5</w:t>
          </w:r>
          <w:r>
            <w:fldChar w:fldCharType="end"/>
          </w:r>
          <w:r>
            <w:fldChar w:fldCharType="end"/>
          </w:r>
        </w:p>
        <w:p w14:paraId="1199CAD7">
          <w:pPr>
            <w:pStyle w:val="6"/>
            <w:tabs>
              <w:tab w:val="right" w:leader="dot" w:pos="8296"/>
            </w:tabs>
          </w:pPr>
          <w:r>
            <w:fldChar w:fldCharType="begin"/>
          </w:r>
          <w:r>
            <w:instrText xml:space="preserve"> HYPERLINK \l "_Toc61956671" </w:instrText>
          </w:r>
          <w:r>
            <w:fldChar w:fldCharType="separate"/>
          </w:r>
          <w:r>
            <w:rPr>
              <w:rStyle w:val="15"/>
              <w:rFonts w:ascii="Times New Roman" w:hAnsi="Times New Roman" w:eastAsia="宋体"/>
            </w:rPr>
            <w:t>3.1用水定额</w:t>
          </w:r>
          <w:r>
            <w:tab/>
          </w:r>
          <w:r>
            <w:fldChar w:fldCharType="begin"/>
          </w:r>
          <w:r>
            <w:instrText xml:space="preserve"> PAGEREF _Toc61956671 \h </w:instrText>
          </w:r>
          <w:r>
            <w:fldChar w:fldCharType="separate"/>
          </w:r>
          <w:r>
            <w:t>5</w:t>
          </w:r>
          <w:r>
            <w:fldChar w:fldCharType="end"/>
          </w:r>
          <w:r>
            <w:fldChar w:fldCharType="end"/>
          </w:r>
        </w:p>
        <w:p w14:paraId="03EF6594">
          <w:pPr>
            <w:pStyle w:val="6"/>
            <w:tabs>
              <w:tab w:val="right" w:leader="dot" w:pos="8296"/>
            </w:tabs>
          </w:pPr>
          <w:r>
            <w:fldChar w:fldCharType="begin"/>
          </w:r>
          <w:r>
            <w:instrText xml:space="preserve"> HYPERLINK \l "_Toc61956672" </w:instrText>
          </w:r>
          <w:r>
            <w:fldChar w:fldCharType="separate"/>
          </w:r>
          <w:r>
            <w:rPr>
              <w:rStyle w:val="15"/>
              <w:rFonts w:ascii="Times New Roman" w:hAnsi="Times New Roman" w:eastAsia="宋体"/>
            </w:rPr>
            <w:t>3.2用水量估算</w:t>
          </w:r>
          <w:r>
            <w:tab/>
          </w:r>
          <w:r>
            <w:fldChar w:fldCharType="begin"/>
          </w:r>
          <w:r>
            <w:instrText xml:space="preserve"> PAGEREF _Toc61956672 \h </w:instrText>
          </w:r>
          <w:r>
            <w:fldChar w:fldCharType="separate"/>
          </w:r>
          <w:r>
            <w:t>5</w:t>
          </w:r>
          <w:r>
            <w:fldChar w:fldCharType="end"/>
          </w:r>
          <w:r>
            <w:fldChar w:fldCharType="end"/>
          </w:r>
        </w:p>
        <w:p w14:paraId="201324F2">
          <w:pPr>
            <w:pStyle w:val="6"/>
            <w:tabs>
              <w:tab w:val="right" w:leader="dot" w:pos="8296"/>
            </w:tabs>
          </w:pPr>
          <w:r>
            <w:fldChar w:fldCharType="begin"/>
          </w:r>
          <w:r>
            <w:instrText xml:space="preserve"> HYPERLINK \l "_Toc61956673" </w:instrText>
          </w:r>
          <w:r>
            <w:fldChar w:fldCharType="separate"/>
          </w:r>
          <w:r>
            <w:rPr>
              <w:rStyle w:val="15"/>
              <w:rFonts w:ascii="Times New Roman" w:hAnsi="Times New Roman" w:eastAsia="宋体"/>
            </w:rPr>
            <w:t>4节水策略</w:t>
          </w:r>
          <w:r>
            <w:tab/>
          </w:r>
          <w:r>
            <w:fldChar w:fldCharType="begin"/>
          </w:r>
          <w:r>
            <w:instrText xml:space="preserve"> PAGEREF _Toc61956673 \h </w:instrText>
          </w:r>
          <w:r>
            <w:fldChar w:fldCharType="separate"/>
          </w:r>
          <w:r>
            <w:t>6</w:t>
          </w:r>
          <w:r>
            <w:fldChar w:fldCharType="end"/>
          </w:r>
          <w:r>
            <w:fldChar w:fldCharType="end"/>
          </w:r>
        </w:p>
        <w:p w14:paraId="54B454B4">
          <w:pPr>
            <w:pStyle w:val="10"/>
            <w:tabs>
              <w:tab w:val="right" w:leader="dot" w:pos="8296"/>
            </w:tabs>
          </w:pPr>
          <w:r>
            <w:fldChar w:fldCharType="begin"/>
          </w:r>
          <w:r>
            <w:instrText xml:space="preserve"> HYPERLINK \l "_Toc61956674" </w:instrText>
          </w:r>
          <w:r>
            <w:fldChar w:fldCharType="separate"/>
          </w:r>
          <w:r>
            <w:rPr>
              <w:rStyle w:val="15"/>
              <w:rFonts w:ascii="Times New Roman" w:hAnsi="Times New Roman" w:eastAsia="宋体"/>
            </w:rPr>
            <w:t>五、给排水系统设计方案</w:t>
          </w:r>
          <w:r>
            <w:tab/>
          </w:r>
          <w:r>
            <w:fldChar w:fldCharType="begin"/>
          </w:r>
          <w:r>
            <w:instrText xml:space="preserve"> PAGEREF _Toc61956674 \h </w:instrText>
          </w:r>
          <w:r>
            <w:fldChar w:fldCharType="separate"/>
          </w:r>
          <w:r>
            <w:t>6</w:t>
          </w:r>
          <w:r>
            <w:fldChar w:fldCharType="end"/>
          </w:r>
          <w:r>
            <w:fldChar w:fldCharType="end"/>
          </w:r>
        </w:p>
        <w:p w14:paraId="1214F2A0">
          <w:pPr>
            <w:pStyle w:val="6"/>
            <w:tabs>
              <w:tab w:val="right" w:leader="dot" w:pos="8296"/>
            </w:tabs>
          </w:pPr>
          <w:r>
            <w:fldChar w:fldCharType="begin"/>
          </w:r>
          <w:r>
            <w:instrText xml:space="preserve"> HYPERLINK \l "_Toc61956675" </w:instrText>
          </w:r>
          <w:r>
            <w:fldChar w:fldCharType="separate"/>
          </w:r>
          <w:r>
            <w:rPr>
              <w:rStyle w:val="15"/>
              <w:rFonts w:ascii="Times New Roman" w:hAnsi="Times New Roman" w:eastAsia="宋体"/>
            </w:rPr>
            <w:t>5.1生活给水系统</w:t>
          </w:r>
          <w:r>
            <w:tab/>
          </w:r>
          <w:r>
            <w:fldChar w:fldCharType="begin"/>
          </w:r>
          <w:r>
            <w:instrText xml:space="preserve"> PAGEREF _Toc61956675 \h </w:instrText>
          </w:r>
          <w:r>
            <w:fldChar w:fldCharType="separate"/>
          </w:r>
          <w:r>
            <w:t>6</w:t>
          </w:r>
          <w:r>
            <w:fldChar w:fldCharType="end"/>
          </w:r>
          <w:r>
            <w:fldChar w:fldCharType="end"/>
          </w:r>
        </w:p>
        <w:p w14:paraId="18AFE1B6">
          <w:pPr>
            <w:pStyle w:val="6"/>
            <w:tabs>
              <w:tab w:val="right" w:leader="dot" w:pos="8296"/>
            </w:tabs>
          </w:pPr>
          <w:r>
            <w:fldChar w:fldCharType="begin"/>
          </w:r>
          <w:r>
            <w:instrText xml:space="preserve"> HYPERLINK \l "_Toc61956676" </w:instrText>
          </w:r>
          <w:r>
            <w:fldChar w:fldCharType="separate"/>
          </w:r>
          <w:r>
            <w:rPr>
              <w:rStyle w:val="15"/>
              <w:rFonts w:ascii="Times New Roman" w:hAnsi="Times New Roman" w:eastAsia="宋体"/>
            </w:rPr>
            <w:t>5.2生活排水系统</w:t>
          </w:r>
          <w:r>
            <w:tab/>
          </w:r>
          <w:r>
            <w:fldChar w:fldCharType="begin"/>
          </w:r>
          <w:r>
            <w:instrText xml:space="preserve"> PAGEREF _Toc61956676 \h </w:instrText>
          </w:r>
          <w:r>
            <w:fldChar w:fldCharType="separate"/>
          </w:r>
          <w:r>
            <w:t>7</w:t>
          </w:r>
          <w:r>
            <w:fldChar w:fldCharType="end"/>
          </w:r>
          <w:r>
            <w:fldChar w:fldCharType="end"/>
          </w:r>
        </w:p>
        <w:p w14:paraId="675EE304">
          <w:pPr>
            <w:pStyle w:val="6"/>
            <w:tabs>
              <w:tab w:val="right" w:leader="dot" w:pos="8296"/>
            </w:tabs>
          </w:pPr>
          <w:r>
            <w:fldChar w:fldCharType="begin"/>
          </w:r>
          <w:r>
            <w:instrText xml:space="preserve"> HYPERLINK \l "_Toc61956677" </w:instrText>
          </w:r>
          <w:r>
            <w:fldChar w:fldCharType="separate"/>
          </w:r>
          <w:r>
            <w:rPr>
              <w:rStyle w:val="15"/>
              <w:rFonts w:ascii="Times New Roman" w:hAnsi="Times New Roman" w:eastAsia="宋体"/>
            </w:rPr>
            <w:t>5.3雨水排水系统</w:t>
          </w:r>
          <w:r>
            <w:tab/>
          </w:r>
          <w:r>
            <w:fldChar w:fldCharType="begin"/>
          </w:r>
          <w:r>
            <w:instrText xml:space="preserve"> PAGEREF _Toc61956677 \h </w:instrText>
          </w:r>
          <w:r>
            <w:fldChar w:fldCharType="separate"/>
          </w:r>
          <w:r>
            <w:t>7</w:t>
          </w:r>
          <w:r>
            <w:fldChar w:fldCharType="end"/>
          </w:r>
          <w:r>
            <w:fldChar w:fldCharType="end"/>
          </w:r>
        </w:p>
        <w:p w14:paraId="58A33E70">
          <w:pPr>
            <w:pStyle w:val="6"/>
            <w:tabs>
              <w:tab w:val="right" w:leader="dot" w:pos="8296"/>
            </w:tabs>
          </w:pPr>
          <w:r>
            <w:fldChar w:fldCharType="begin"/>
          </w:r>
          <w:r>
            <w:instrText xml:space="preserve"> HYPERLINK \l "_Toc61956678" </w:instrText>
          </w:r>
          <w:r>
            <w:fldChar w:fldCharType="separate"/>
          </w:r>
          <w:r>
            <w:rPr>
              <w:rStyle w:val="15"/>
              <w:rFonts w:ascii="Times New Roman" w:hAnsi="Times New Roman" w:eastAsia="宋体"/>
            </w:rPr>
            <w:t>5.4管材与配件</w:t>
          </w:r>
          <w:r>
            <w:tab/>
          </w:r>
          <w:r>
            <w:fldChar w:fldCharType="begin"/>
          </w:r>
          <w:r>
            <w:instrText xml:space="preserve"> PAGEREF _Toc61956678 \h </w:instrText>
          </w:r>
          <w:r>
            <w:fldChar w:fldCharType="separate"/>
          </w:r>
          <w:r>
            <w:t>7</w:t>
          </w:r>
          <w:r>
            <w:fldChar w:fldCharType="end"/>
          </w:r>
          <w:r>
            <w:fldChar w:fldCharType="end"/>
          </w:r>
        </w:p>
        <w:p w14:paraId="404E374E">
          <w:pPr>
            <w:pStyle w:val="6"/>
            <w:tabs>
              <w:tab w:val="right" w:leader="dot" w:pos="8296"/>
            </w:tabs>
          </w:pPr>
          <w:r>
            <w:fldChar w:fldCharType="begin"/>
          </w:r>
          <w:r>
            <w:instrText xml:space="preserve"> HYPERLINK \l "_Toc61956679" </w:instrText>
          </w:r>
          <w:r>
            <w:fldChar w:fldCharType="separate"/>
          </w:r>
          <w:r>
            <w:rPr>
              <w:rStyle w:val="15"/>
              <w:rFonts w:ascii="Times New Roman" w:hAnsi="Times New Roman" w:eastAsia="宋体"/>
            </w:rPr>
            <w:t>5.5阀门及附件</w:t>
          </w:r>
          <w:r>
            <w:tab/>
          </w:r>
          <w:r>
            <w:fldChar w:fldCharType="begin"/>
          </w:r>
          <w:r>
            <w:instrText xml:space="preserve"> PAGEREF _Toc61956679 \h </w:instrText>
          </w:r>
          <w:r>
            <w:fldChar w:fldCharType="separate"/>
          </w:r>
          <w:r>
            <w:t>7</w:t>
          </w:r>
          <w:r>
            <w:fldChar w:fldCharType="end"/>
          </w:r>
          <w:r>
            <w:fldChar w:fldCharType="end"/>
          </w:r>
        </w:p>
        <w:p w14:paraId="59961A99">
          <w:pPr>
            <w:pStyle w:val="6"/>
            <w:tabs>
              <w:tab w:val="right" w:leader="dot" w:pos="8296"/>
            </w:tabs>
          </w:pPr>
          <w:r>
            <w:fldChar w:fldCharType="begin"/>
          </w:r>
          <w:r>
            <w:instrText xml:space="preserve"> HYPERLINK \l "_Toc61956680" </w:instrText>
          </w:r>
          <w:r>
            <w:fldChar w:fldCharType="separate"/>
          </w:r>
          <w:r>
            <w:rPr>
              <w:rStyle w:val="15"/>
              <w:rFonts w:ascii="Times New Roman" w:hAnsi="Times New Roman" w:eastAsia="宋体"/>
            </w:rPr>
            <w:t>5.6卫生洁具及附件</w:t>
          </w:r>
          <w:r>
            <w:tab/>
          </w:r>
          <w:r>
            <w:fldChar w:fldCharType="begin"/>
          </w:r>
          <w:r>
            <w:instrText xml:space="preserve"> PAGEREF _Toc61956680 \h </w:instrText>
          </w:r>
          <w:r>
            <w:fldChar w:fldCharType="separate"/>
          </w:r>
          <w:r>
            <w:t>7</w:t>
          </w:r>
          <w:r>
            <w:fldChar w:fldCharType="end"/>
          </w:r>
          <w:r>
            <w:fldChar w:fldCharType="end"/>
          </w:r>
        </w:p>
        <w:p w14:paraId="08A58B36">
          <w:pPr>
            <w:pStyle w:val="10"/>
            <w:tabs>
              <w:tab w:val="right" w:leader="dot" w:pos="8296"/>
            </w:tabs>
          </w:pPr>
          <w:r>
            <w:fldChar w:fldCharType="begin"/>
          </w:r>
          <w:r>
            <w:instrText xml:space="preserve"> HYPERLINK \l "_Toc61956681" </w:instrText>
          </w:r>
          <w:r>
            <w:fldChar w:fldCharType="separate"/>
          </w:r>
          <w:r>
            <w:rPr>
              <w:rStyle w:val="15"/>
              <w:rFonts w:ascii="Times New Roman" w:hAnsi="Times New Roman" w:eastAsia="宋体"/>
            </w:rPr>
            <w:t>六、非传统水源利用方案</w:t>
          </w:r>
          <w:r>
            <w:tab/>
          </w:r>
          <w:r>
            <w:fldChar w:fldCharType="begin"/>
          </w:r>
          <w:r>
            <w:instrText xml:space="preserve"> PAGEREF _Toc61956681 \h </w:instrText>
          </w:r>
          <w:r>
            <w:fldChar w:fldCharType="separate"/>
          </w:r>
          <w:r>
            <w:t>7</w:t>
          </w:r>
          <w:r>
            <w:fldChar w:fldCharType="end"/>
          </w:r>
          <w:r>
            <w:fldChar w:fldCharType="end"/>
          </w:r>
        </w:p>
        <w:p w14:paraId="01F30104">
          <w:pPr>
            <w:pStyle w:val="10"/>
            <w:tabs>
              <w:tab w:val="right" w:leader="dot" w:pos="8296"/>
            </w:tabs>
          </w:pPr>
          <w:r>
            <w:fldChar w:fldCharType="begin"/>
          </w:r>
          <w:r>
            <w:instrText xml:space="preserve"> HYPERLINK \l "_Toc61956682" </w:instrText>
          </w:r>
          <w:r>
            <w:fldChar w:fldCharType="separate"/>
          </w:r>
          <w:r>
            <w:rPr>
              <w:rStyle w:val="15"/>
              <w:rFonts w:ascii="Times New Roman" w:hAnsi="Times New Roman" w:eastAsia="宋体"/>
            </w:rPr>
            <w:t>七、水量平衡</w:t>
          </w:r>
          <w:r>
            <w:tab/>
          </w:r>
          <w:r>
            <w:fldChar w:fldCharType="begin"/>
          </w:r>
          <w:r>
            <w:instrText xml:space="preserve"> PAGEREF _Toc61956682 \h </w:instrText>
          </w:r>
          <w:r>
            <w:fldChar w:fldCharType="separate"/>
          </w:r>
          <w:r>
            <w:t>7</w:t>
          </w:r>
          <w:r>
            <w:fldChar w:fldCharType="end"/>
          </w:r>
          <w:r>
            <w:fldChar w:fldCharType="end"/>
          </w:r>
        </w:p>
        <w:p w14:paraId="0907C5A1">
          <w:r>
            <w:rPr>
              <w:b/>
              <w:bCs/>
              <w:lang w:val="zh-CN"/>
            </w:rPr>
            <w:fldChar w:fldCharType="end"/>
          </w:r>
        </w:p>
      </w:sdtContent>
    </w:sdt>
    <w:p w14:paraId="2A7189AD">
      <w:pPr>
        <w:widowControl/>
        <w:jc w:val="left"/>
        <w:rPr>
          <w:rFonts w:ascii="Times New Roman" w:hAnsi="Times New Roman" w:eastAsia="宋体"/>
        </w:rPr>
      </w:pPr>
      <w:r>
        <w:rPr>
          <w:rFonts w:ascii="Times New Roman" w:hAnsi="Times New Roman" w:eastAsia="宋体"/>
        </w:rPr>
        <w:br w:type="page"/>
      </w:r>
    </w:p>
    <w:p w14:paraId="050704AD">
      <w:pPr>
        <w:pStyle w:val="3"/>
        <w:numPr>
          <w:ilvl w:val="0"/>
          <w:numId w:val="1"/>
        </w:numPr>
        <w:rPr>
          <w:rFonts w:ascii="Times New Roman" w:hAnsi="Times New Roman" w:eastAsia="宋体"/>
        </w:rPr>
      </w:pPr>
      <w:bookmarkStart w:id="0" w:name="_Toc61956665"/>
      <w:r>
        <w:rPr>
          <w:rFonts w:hint="eastAsia" w:ascii="Times New Roman" w:hAnsi="Times New Roman" w:eastAsia="宋体"/>
        </w:rPr>
        <w:t>项目概况</w:t>
      </w:r>
      <w:bookmarkEnd w:id="0"/>
    </w:p>
    <w:p w14:paraId="1EA7911D">
      <w:pPr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360" w:lineRule="atLeast"/>
        <w:ind w:left="0" w:right="0" w:firstLine="480" w:firstLineChars="200"/>
        <w:jc w:val="left"/>
        <w:rPr>
          <w:color w:val="000000"/>
          <w:sz w:val="24"/>
          <w:szCs w:val="24"/>
        </w:rPr>
      </w:pPr>
      <w:r>
        <w:rPr>
          <w:rFonts w:ascii="宋体" w:hAnsi="宋体" w:eastAsia="宋体" w:cs="宋体"/>
          <w:color w:val="000000"/>
          <w:kern w:val="0"/>
          <w:sz w:val="24"/>
          <w:szCs w:val="24"/>
          <w:bdr w:val="none" w:color="auto" w:sz="0" w:space="0"/>
          <w:lang w:val="en-US" w:eastAsia="zh-CN" w:bidi="ar"/>
        </w:rPr>
        <w:t>本项目为</w:t>
      </w:r>
      <w:r>
        <w:rPr>
          <w:rStyle w:val="14"/>
          <w:rFonts w:hint="eastAsia" w:ascii="宋体" w:hAnsi="宋体" w:eastAsia="宋体" w:cs="宋体"/>
          <w:b/>
          <w:bCs/>
          <w:color w:val="000000"/>
          <w:kern w:val="0"/>
          <w:sz w:val="24"/>
          <w:szCs w:val="24"/>
          <w:bdr w:val="none" w:color="auto" w:sz="0" w:space="0"/>
          <w:lang w:val="en-US" w:eastAsia="zh-CN" w:bidi="ar"/>
        </w:rPr>
        <w:t>新生</w:t>
      </w:r>
      <w:r>
        <w:rPr>
          <w:rStyle w:val="14"/>
          <w:rFonts w:ascii="宋体" w:hAnsi="宋体" w:eastAsia="宋体" w:cs="宋体"/>
          <w:b/>
          <w:bCs/>
          <w:color w:val="000000"/>
          <w:kern w:val="0"/>
          <w:sz w:val="24"/>
          <w:szCs w:val="24"/>
          <w:bdr w:val="none" w:color="auto" w:sz="0" w:space="0"/>
          <w:lang w:val="en-US" w:eastAsia="zh-CN" w:bidi="ar"/>
        </w:rPr>
        <w:t>幼儿园</w:t>
      </w:r>
      <w:r>
        <w:rPr>
          <w:rFonts w:ascii="宋体" w:hAnsi="宋体" w:eastAsia="宋体" w:cs="宋体"/>
          <w:color w:val="000000"/>
          <w:kern w:val="0"/>
          <w:sz w:val="24"/>
          <w:szCs w:val="24"/>
          <w:bdr w:val="none" w:color="auto" w:sz="0" w:space="0"/>
          <w:lang w:val="en-US" w:eastAsia="zh-CN" w:bidi="ar"/>
        </w:rPr>
        <w:t>，位于柳州市鱼峰区会展路片区，为 3 层钢筋混凝土框架结构幼儿教育建筑，总建筑面积 3200㎡，设计办学规模为</w:t>
      </w:r>
      <w:r>
        <w:rPr>
          <w:rFonts w:hint="eastAsia" w:ascii="宋体" w:hAnsi="宋体" w:eastAsia="宋体" w:cs="宋体"/>
          <w:color w:val="000000"/>
          <w:kern w:val="0"/>
          <w:sz w:val="24"/>
          <w:szCs w:val="24"/>
          <w:bdr w:val="none" w:color="auto" w:sz="0" w:space="0"/>
          <w:lang w:val="en-US" w:eastAsia="zh-CN" w:bidi="ar"/>
        </w:rPr>
        <w:t>9</w:t>
      </w:r>
      <w:r>
        <w:rPr>
          <w:rFonts w:ascii="宋体" w:hAnsi="宋体" w:eastAsia="宋体" w:cs="宋体"/>
          <w:color w:val="000000"/>
          <w:kern w:val="0"/>
          <w:sz w:val="24"/>
          <w:szCs w:val="24"/>
          <w:bdr w:val="none" w:color="auto" w:sz="0" w:space="0"/>
          <w:lang w:val="en-US" w:eastAsia="zh-CN" w:bidi="ar"/>
        </w:rPr>
        <w:t>个教学班，可容纳幼儿约 3</w:t>
      </w:r>
      <w:r>
        <w:rPr>
          <w:rFonts w:hint="eastAsia" w:ascii="宋体" w:hAnsi="宋体" w:eastAsia="宋体" w:cs="宋体"/>
          <w:color w:val="000000"/>
          <w:kern w:val="0"/>
          <w:sz w:val="24"/>
          <w:szCs w:val="24"/>
          <w:bdr w:val="none" w:color="auto" w:sz="0" w:space="0"/>
          <w:lang w:val="en-US" w:eastAsia="zh-CN" w:bidi="ar"/>
        </w:rPr>
        <w:t>0</w:t>
      </w:r>
      <w:r>
        <w:rPr>
          <w:rFonts w:ascii="宋体" w:hAnsi="宋体" w:eastAsia="宋体" w:cs="宋体"/>
          <w:color w:val="000000"/>
          <w:kern w:val="0"/>
          <w:sz w:val="24"/>
          <w:szCs w:val="24"/>
          <w:bdr w:val="none" w:color="auto" w:sz="0" w:space="0"/>
          <w:lang w:val="en-US" w:eastAsia="zh-CN" w:bidi="ar"/>
        </w:rPr>
        <w:t>0 名，教职工约 40 名。项目主要功能区域包括幼儿活动室、寝室、多功能厅、厨房、保健室、办公区及配套公共区域，为全日制幼儿园，每日运营时间约 10 小时。项目秉持绿色建筑设计理念，在水资源利用方面严格遵循节水、高效、循环的原则，配套完善的给排水及节水系统，保障用水安全与水资源高效利用。</w:t>
      </w:r>
      <w:r>
        <w:drawing>
          <wp:inline distT="0" distB="0" distL="114300" distR="114300">
            <wp:extent cx="5538470" cy="3169920"/>
            <wp:effectExtent l="0" t="0" r="0" b="0"/>
            <wp:docPr id="2" name="图片 1" descr="效果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 descr="效果"/>
                    <pic:cNvPicPr>
                      <a:picLocks noChangeAspect="1"/>
                    </pic:cNvPicPr>
                  </pic:nvPicPr>
                  <pic:blipFill>
                    <a:blip r:embed="rId4"/>
                    <a:srcRect r="32775" b="72831"/>
                    <a:stretch>
                      <a:fillRect/>
                    </a:stretch>
                  </pic:blipFill>
                  <pic:spPr>
                    <a:xfrm>
                      <a:off x="0" y="0"/>
                      <a:ext cx="5538470" cy="3169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3E70F1">
      <w:pPr>
        <w:jc w:val="center"/>
        <w:rPr>
          <w:rFonts w:ascii="Times New Roman" w:hAnsi="Times New Roman" w:eastAsia="宋体"/>
          <w:sz w:val="18"/>
          <w:szCs w:val="18"/>
        </w:rPr>
      </w:pPr>
      <w:r>
        <w:rPr>
          <w:rFonts w:hint="eastAsia" w:ascii="Times New Roman" w:hAnsi="Times New Roman" w:eastAsia="宋体"/>
          <w:sz w:val="18"/>
          <w:szCs w:val="18"/>
        </w:rPr>
        <w:t>项目效果图</w:t>
      </w:r>
    </w:p>
    <w:p w14:paraId="4711708A">
      <w:pPr>
        <w:widowControl/>
        <w:jc w:val="left"/>
        <w:rPr>
          <w:rFonts w:ascii="Times New Roman" w:hAnsi="Times New Roman" w:eastAsia="宋体"/>
        </w:rPr>
      </w:pPr>
      <w:r>
        <w:rPr>
          <w:rFonts w:ascii="Times New Roman" w:hAnsi="Times New Roman" w:eastAsia="宋体"/>
        </w:rPr>
        <w:br w:type="page"/>
      </w:r>
    </w:p>
    <w:p w14:paraId="0479ECE1">
      <w:pPr>
        <w:pStyle w:val="3"/>
        <w:numPr>
          <w:ilvl w:val="0"/>
          <w:numId w:val="1"/>
        </w:numPr>
        <w:rPr>
          <w:rFonts w:ascii="Times New Roman" w:hAnsi="Times New Roman" w:eastAsia="宋体"/>
        </w:rPr>
      </w:pPr>
      <w:bookmarkStart w:id="1" w:name="_Toc61956666"/>
      <w:r>
        <w:rPr>
          <w:rFonts w:hint="eastAsia" w:ascii="Times New Roman" w:hAnsi="Times New Roman" w:eastAsia="宋体"/>
        </w:rPr>
        <w:t>政策及环境分析</w:t>
      </w:r>
      <w:bookmarkEnd w:id="1"/>
    </w:p>
    <w:p w14:paraId="5D1D7060">
      <w:pPr>
        <w:pStyle w:val="4"/>
        <w:rPr>
          <w:rFonts w:ascii="Times New Roman" w:hAnsi="Times New Roman" w:eastAsia="宋体"/>
        </w:rPr>
      </w:pPr>
      <w:bookmarkStart w:id="2" w:name="_Toc61956667"/>
      <w:r>
        <w:rPr>
          <w:rFonts w:hint="eastAsia" w:ascii="Times New Roman" w:hAnsi="Times New Roman" w:eastAsia="宋体"/>
        </w:rPr>
        <w:t>2.1政策要求</w:t>
      </w:r>
      <w:bookmarkEnd w:id="2"/>
    </w:p>
    <w:p w14:paraId="7791EAF7">
      <w:pPr>
        <w:keepNext w:val="0"/>
        <w:keepLines w:val="0"/>
        <w:pageBreakBefore w:val="0"/>
        <w:widowControl/>
        <w:numPr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tLeast"/>
        <w:ind w:leftChars="0" w:right="0" w:rightChars="0" w:firstLine="480" w:firstLineChars="200"/>
        <w:jc w:val="left"/>
        <w:textAlignment w:val="auto"/>
        <w:rPr>
          <w:rFonts w:hint="eastAsia" w:ascii="宋体" w:hAnsi="宋体" w:eastAsia="宋体" w:cs="宋体"/>
          <w:color w:val="000000"/>
          <w:sz w:val="24"/>
          <w:szCs w:val="24"/>
        </w:rPr>
      </w:pPr>
      <w:r>
        <w:rPr>
          <w:rFonts w:hint="eastAsia" w:ascii="宋体" w:hAnsi="宋体" w:eastAsia="宋体" w:cs="宋体"/>
          <w:color w:val="000000"/>
          <w:kern w:val="0"/>
          <w:sz w:val="24"/>
          <w:szCs w:val="24"/>
          <w:bdr w:val="none" w:color="auto" w:sz="0" w:space="0"/>
          <w:lang w:val="en-US" w:eastAsia="zh-CN" w:bidi="ar"/>
        </w:rPr>
        <w:t>本项目严格遵循《广西壮族自治区节约用水管理办法》《柳州市城市供水节约用水管理条例》及国家现行规范要求：</w:t>
      </w:r>
    </w:p>
    <w:p w14:paraId="7390B151">
      <w:pPr>
        <w:keepNext w:val="0"/>
        <w:keepLines w:val="0"/>
        <w:pageBreakBefore w:val="0"/>
        <w:widowControl/>
        <w:numPr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tLeast"/>
        <w:ind w:leftChars="0" w:right="0" w:rightChars="0" w:firstLine="480" w:firstLineChars="200"/>
        <w:jc w:val="left"/>
        <w:textAlignment w:val="auto"/>
        <w:rPr>
          <w:rFonts w:hint="eastAsia" w:ascii="宋体" w:hAnsi="宋体" w:eastAsia="宋体" w:cs="宋体"/>
          <w:color w:val="000000"/>
          <w:sz w:val="24"/>
          <w:szCs w:val="24"/>
        </w:rPr>
      </w:pPr>
      <w:r>
        <w:rPr>
          <w:rFonts w:hint="eastAsia" w:ascii="宋体" w:hAnsi="宋体" w:eastAsia="宋体" w:cs="宋体"/>
          <w:color w:val="000000"/>
          <w:sz w:val="24"/>
          <w:szCs w:val="24"/>
          <w:bdr w:val="none" w:color="auto" w:sz="0" w:space="0"/>
        </w:rPr>
        <w:t>用水单位需按规定配备用水计量器具，实行</w:t>
      </w:r>
      <w:r>
        <w:rPr>
          <w:rStyle w:val="14"/>
          <w:rFonts w:hint="eastAsia" w:ascii="宋体" w:hAnsi="宋体" w:eastAsia="宋体" w:cs="宋体"/>
          <w:b/>
          <w:bCs/>
          <w:color w:val="000000"/>
          <w:sz w:val="24"/>
          <w:szCs w:val="24"/>
          <w:bdr w:val="none" w:color="auto" w:sz="0" w:space="0"/>
        </w:rPr>
        <w:t>分类分级计量</w:t>
      </w:r>
      <w:r>
        <w:rPr>
          <w:rFonts w:hint="eastAsia" w:ascii="宋体" w:hAnsi="宋体" w:eastAsia="宋体" w:cs="宋体"/>
          <w:color w:val="000000"/>
          <w:sz w:val="24"/>
          <w:szCs w:val="24"/>
          <w:bdr w:val="none" w:color="auto" w:sz="0" w:space="0"/>
        </w:rPr>
        <w:t>，加强用水计量管理；</w:t>
      </w:r>
    </w:p>
    <w:p w14:paraId="3134FE3F">
      <w:pPr>
        <w:keepNext w:val="0"/>
        <w:keepLines w:val="0"/>
        <w:pageBreakBefore w:val="0"/>
        <w:widowControl/>
        <w:numPr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tLeast"/>
        <w:ind w:leftChars="0" w:right="0" w:rightChars="0" w:firstLine="480" w:firstLineChars="200"/>
        <w:jc w:val="left"/>
        <w:textAlignment w:val="auto"/>
        <w:rPr>
          <w:rFonts w:hint="eastAsia" w:ascii="宋体" w:hAnsi="宋体" w:eastAsia="宋体" w:cs="宋体"/>
          <w:color w:val="000000"/>
          <w:sz w:val="24"/>
          <w:szCs w:val="24"/>
        </w:rPr>
      </w:pPr>
      <w:r>
        <w:rPr>
          <w:rFonts w:hint="eastAsia" w:ascii="宋体" w:hAnsi="宋体" w:eastAsia="宋体" w:cs="宋体"/>
          <w:color w:val="000000"/>
          <w:sz w:val="24"/>
          <w:szCs w:val="24"/>
          <w:bdr w:val="none" w:color="auto" w:sz="0" w:space="0"/>
        </w:rPr>
        <w:t>新建建筑项目必须配套建设节水设施，节水设施与主体工程同时设计、同时施工、同时投入使用；</w:t>
      </w:r>
    </w:p>
    <w:p w14:paraId="62BAC6ED">
      <w:pPr>
        <w:keepNext w:val="0"/>
        <w:keepLines w:val="0"/>
        <w:pageBreakBefore w:val="0"/>
        <w:widowControl/>
        <w:numPr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tLeast"/>
        <w:ind w:leftChars="0" w:right="0" w:rightChars="0" w:firstLine="480" w:firstLineChars="200"/>
        <w:jc w:val="left"/>
        <w:textAlignment w:val="auto"/>
        <w:rPr>
          <w:rFonts w:hint="eastAsia" w:ascii="宋体" w:hAnsi="宋体" w:eastAsia="宋体" w:cs="宋体"/>
          <w:color w:val="000000"/>
          <w:sz w:val="24"/>
          <w:szCs w:val="24"/>
        </w:rPr>
      </w:pPr>
      <w:r>
        <w:rPr>
          <w:rFonts w:hint="eastAsia" w:ascii="宋体" w:hAnsi="宋体" w:eastAsia="宋体" w:cs="宋体"/>
          <w:color w:val="000000"/>
          <w:sz w:val="24"/>
          <w:szCs w:val="24"/>
          <w:bdr w:val="none" w:color="auto" w:sz="0" w:space="0"/>
        </w:rPr>
        <w:t>强制使用国家认证的节水型用水设备、器具，禁止采用国家明令淘汰的高耗水器具；</w:t>
      </w:r>
    </w:p>
    <w:p w14:paraId="44AC2965">
      <w:pPr>
        <w:keepNext w:val="0"/>
        <w:keepLines w:val="0"/>
        <w:pageBreakBefore w:val="0"/>
        <w:widowControl/>
        <w:numPr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tLeast"/>
        <w:ind w:leftChars="0" w:right="0" w:rightChars="0" w:firstLine="480" w:firstLineChars="200"/>
        <w:jc w:val="left"/>
        <w:textAlignment w:val="auto"/>
        <w:rPr>
          <w:rFonts w:hint="eastAsia" w:ascii="宋体" w:hAnsi="宋体" w:eastAsia="宋体" w:cs="宋体"/>
          <w:color w:val="000000"/>
          <w:sz w:val="24"/>
          <w:szCs w:val="24"/>
        </w:rPr>
      </w:pPr>
      <w:r>
        <w:rPr>
          <w:rFonts w:hint="eastAsia" w:ascii="宋体" w:hAnsi="宋体" w:eastAsia="宋体" w:cs="宋体"/>
          <w:color w:val="000000"/>
          <w:sz w:val="24"/>
          <w:szCs w:val="24"/>
          <w:bdr w:val="none" w:color="auto" w:sz="0" w:space="0"/>
        </w:rPr>
        <w:t>推广一水多用、循环用水措施，提高水资源重复利用率，市政供水管网漏损率需控制在 5% 以内；</w:t>
      </w:r>
    </w:p>
    <w:p w14:paraId="54BB3CB2">
      <w:pPr>
        <w:keepNext w:val="0"/>
        <w:keepLines w:val="0"/>
        <w:pageBreakBefore w:val="0"/>
        <w:widowControl/>
        <w:numPr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tLeast"/>
        <w:ind w:leftChars="0" w:right="0" w:rightChars="0" w:firstLine="480" w:firstLineChars="200"/>
        <w:jc w:val="left"/>
        <w:textAlignment w:val="auto"/>
        <w:rPr>
          <w:rFonts w:hint="eastAsia" w:ascii="宋体" w:hAnsi="宋体" w:eastAsia="宋体" w:cs="宋体"/>
          <w:color w:val="000000"/>
          <w:sz w:val="24"/>
          <w:szCs w:val="24"/>
        </w:rPr>
      </w:pPr>
      <w:r>
        <w:rPr>
          <w:rFonts w:hint="eastAsia" w:ascii="宋体" w:hAnsi="宋体" w:eastAsia="宋体" w:cs="宋体"/>
          <w:color w:val="000000"/>
          <w:sz w:val="24"/>
          <w:szCs w:val="24"/>
          <w:bdr w:val="none" w:color="auto" w:sz="0" w:space="0"/>
        </w:rPr>
        <w:t>幼儿园等公共建筑需优先选用低水压、节水型卫生洁具，保障用水安全的同时减少水资源浪费。</w:t>
      </w:r>
    </w:p>
    <w:p w14:paraId="79EB09CB">
      <w:pPr>
        <w:keepNext w:val="0"/>
        <w:keepLines w:val="0"/>
        <w:pageBreakBefore w:val="0"/>
        <w:widowControl/>
        <w:numPr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tLeast"/>
        <w:ind w:leftChars="0" w:right="0" w:rightChars="0" w:firstLine="480" w:firstLineChars="200"/>
        <w:jc w:val="left"/>
        <w:textAlignment w:val="auto"/>
        <w:rPr>
          <w:rFonts w:ascii="Times New Roman" w:hAnsi="Times New Roman" w:eastAsia="宋体"/>
          <w:sz w:val="24"/>
        </w:rPr>
      </w:pPr>
      <w:r>
        <w:rPr>
          <w:rFonts w:hint="eastAsia" w:ascii="宋体" w:hAnsi="宋体" w:eastAsia="宋体" w:cs="宋体"/>
          <w:color w:val="000000"/>
          <w:kern w:val="0"/>
          <w:sz w:val="24"/>
          <w:szCs w:val="24"/>
          <w:bdr w:val="none" w:color="auto" w:sz="0" w:space="0"/>
          <w:lang w:val="en-US" w:eastAsia="zh-CN" w:bidi="ar"/>
        </w:rPr>
        <w:t>同时遵循国家规范：《民用建筑节水设计标准》GB 50555-2010、《建筑给水排水设计标准》GB 50015-2019、《节水型产品通用技术条件》GB/T 18870-2011。</w:t>
      </w:r>
    </w:p>
    <w:p w14:paraId="7E1B1056">
      <w:pPr>
        <w:pStyle w:val="4"/>
        <w:rPr>
          <w:rFonts w:ascii="Times New Roman" w:hAnsi="Times New Roman" w:eastAsia="宋体"/>
        </w:rPr>
      </w:pPr>
      <w:bookmarkStart w:id="3" w:name="_Toc61956668"/>
      <w:r>
        <w:rPr>
          <w:rFonts w:hint="eastAsia" w:ascii="Times New Roman" w:hAnsi="Times New Roman" w:eastAsia="宋体"/>
        </w:rPr>
        <w:t>2.2水资源状况</w:t>
      </w:r>
      <w:bookmarkEnd w:id="3"/>
    </w:p>
    <w:p w14:paraId="1F54CF80"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tLeast"/>
        <w:ind w:leftChars="0" w:right="0" w:rightChars="0" w:firstLine="480" w:firstLineChars="200"/>
        <w:jc w:val="left"/>
        <w:textAlignment w:val="auto"/>
        <w:rPr>
          <w:rFonts w:hint="eastAsia" w:ascii="宋体" w:hAnsi="宋体" w:eastAsia="宋体" w:cs="宋体"/>
          <w:color w:val="000000"/>
          <w:sz w:val="24"/>
          <w:szCs w:val="24"/>
        </w:rPr>
      </w:pPr>
      <w:r>
        <w:rPr>
          <w:rFonts w:hint="eastAsia" w:ascii="宋体" w:hAnsi="宋体" w:eastAsia="宋体" w:cs="宋体"/>
          <w:color w:val="000000"/>
          <w:kern w:val="0"/>
          <w:sz w:val="24"/>
          <w:szCs w:val="24"/>
          <w:lang w:val="en-US" w:eastAsia="zh-CN" w:bidi="ar"/>
        </w:rPr>
        <w:t>柳州市地处广西中部，属珠江流域西江水系，境内柳江穿城而过，水资源总量丰富，多年平均水资源总量约为 373.8 亿 m³，过境水资源量充沛，本地地表水为主要供水水源，占城市供水总量的 99% 以上，地下水仅作为应急补充水源。</w:t>
      </w:r>
    </w:p>
    <w:p w14:paraId="31DA0E75">
      <w:pPr>
        <w:spacing w:line="400" w:lineRule="exact"/>
        <w:ind w:firstLine="480" w:firstLineChars="200"/>
        <w:rPr>
          <w:rFonts w:ascii="Times New Roman" w:hAnsi="Times New Roman" w:eastAsia="宋体"/>
          <w:sz w:val="24"/>
        </w:rPr>
      </w:pPr>
      <w:r>
        <w:rPr>
          <w:rFonts w:hint="eastAsia" w:ascii="宋体" w:hAnsi="宋体" w:eastAsia="宋体" w:cs="宋体"/>
          <w:color w:val="000000"/>
          <w:kern w:val="0"/>
          <w:sz w:val="24"/>
          <w:szCs w:val="24"/>
          <w:lang w:val="en-US" w:eastAsia="zh-CN" w:bidi="ar"/>
        </w:rPr>
        <w:t>柳州市城市供水以市政管网集中供水为主，供水水质符合《生活饮用水卫生标准》GB 5749-2022 要求，供水压力稳定。但柳州市作为南方多雨城市，汛期雨水资源丰富，具备雨水回收利用的自然条件，同时城市节水规划要求公共建筑需提高非传统水源利用率，幼儿园等文教建筑非传统水源利用率需不低于 15%</w:t>
      </w:r>
      <w:r>
        <w:rPr>
          <w:rFonts w:ascii="Times New Roman" w:hAnsi="Times New Roman" w:eastAsia="宋体"/>
          <w:sz w:val="24"/>
        </w:rPr>
        <w:t>。</w:t>
      </w:r>
    </w:p>
    <w:p w14:paraId="59672E24">
      <w:pPr>
        <w:pStyle w:val="4"/>
        <w:rPr>
          <w:rFonts w:ascii="Times New Roman" w:hAnsi="Times New Roman" w:eastAsia="宋体"/>
        </w:rPr>
      </w:pPr>
      <w:bookmarkStart w:id="4" w:name="_Toc61956669"/>
      <w:r>
        <w:rPr>
          <w:rFonts w:hint="eastAsia" w:ascii="Times New Roman" w:hAnsi="Times New Roman" w:eastAsia="宋体"/>
        </w:rPr>
        <w:t>2.3气象资料</w:t>
      </w:r>
      <w:bookmarkEnd w:id="4"/>
    </w:p>
    <w:p w14:paraId="581C0ED4"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tLeast"/>
        <w:ind w:leftChars="0" w:right="0" w:rightChars="0" w:firstLine="480" w:firstLineChars="200"/>
        <w:jc w:val="left"/>
        <w:textAlignment w:val="auto"/>
        <w:rPr>
          <w:rFonts w:hint="eastAsia" w:ascii="宋体" w:hAnsi="宋体" w:eastAsia="宋体" w:cs="宋体"/>
          <w:b w:val="0"/>
          <w:bCs w:val="0"/>
          <w:color w:val="000000"/>
          <w:sz w:val="24"/>
          <w:szCs w:val="24"/>
        </w:rPr>
      </w:pPr>
      <w:bookmarkStart w:id="5" w:name="_Toc61956670"/>
      <w:r>
        <w:rPr>
          <w:rFonts w:hint="eastAsia" w:ascii="宋体" w:hAnsi="宋体" w:eastAsia="宋体" w:cs="宋体"/>
          <w:b w:val="0"/>
          <w:bCs w:val="0"/>
          <w:color w:val="000000"/>
          <w:kern w:val="0"/>
          <w:sz w:val="24"/>
          <w:szCs w:val="24"/>
          <w:lang w:val="en-US" w:eastAsia="zh-CN" w:bidi="ar"/>
        </w:rPr>
        <w:t>柳州市属</w:t>
      </w:r>
      <w:r>
        <w:rPr>
          <w:rStyle w:val="14"/>
          <w:rFonts w:hint="eastAsia" w:ascii="宋体" w:hAnsi="宋体" w:eastAsia="宋体" w:cs="宋体"/>
          <w:b w:val="0"/>
          <w:bCs w:val="0"/>
          <w:color w:val="000000"/>
          <w:kern w:val="0"/>
          <w:sz w:val="24"/>
          <w:szCs w:val="24"/>
          <w:lang w:val="en-US" w:eastAsia="zh-CN" w:bidi="ar"/>
        </w:rPr>
        <w:t>亚热带季风气候</w:t>
      </w:r>
      <w:r>
        <w:rPr>
          <w:rFonts w:hint="eastAsia" w:ascii="宋体" w:hAnsi="宋体" w:eastAsia="宋体" w:cs="宋体"/>
          <w:b w:val="0"/>
          <w:bCs w:val="0"/>
          <w:color w:val="000000"/>
          <w:kern w:val="0"/>
          <w:sz w:val="24"/>
          <w:szCs w:val="24"/>
          <w:lang w:val="en-US" w:eastAsia="zh-CN" w:bidi="ar"/>
        </w:rPr>
        <w:t>，气候温和湿润，四季分明，具有温暖多雨、光热充足、夏季长、霜期短的特征。</w:t>
      </w:r>
    </w:p>
    <w:p w14:paraId="7303F669"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tLeast"/>
        <w:ind w:leftChars="0" w:right="0" w:rightChars="0" w:firstLine="480" w:firstLineChars="200"/>
        <w:jc w:val="left"/>
        <w:textAlignment w:val="auto"/>
        <w:rPr>
          <w:rFonts w:hint="eastAsia" w:ascii="宋体" w:hAnsi="宋体" w:eastAsia="宋体" w:cs="宋体"/>
          <w:b w:val="0"/>
          <w:bCs w:val="0"/>
          <w:color w:val="000000"/>
          <w:sz w:val="24"/>
          <w:szCs w:val="24"/>
        </w:rPr>
      </w:pPr>
      <w:r>
        <w:rPr>
          <w:rFonts w:hint="eastAsia" w:ascii="宋体" w:hAnsi="宋体" w:eastAsia="宋体" w:cs="宋体"/>
          <w:b w:val="0"/>
          <w:bCs w:val="0"/>
          <w:color w:val="000000"/>
          <w:sz w:val="24"/>
          <w:szCs w:val="24"/>
        </w:rPr>
        <w:t>年平均气温：20.5~22.0℃；</w:t>
      </w:r>
    </w:p>
    <w:p w14:paraId="56D46F98"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tLeast"/>
        <w:ind w:leftChars="0" w:right="0" w:rightChars="0" w:firstLine="480" w:firstLineChars="200"/>
        <w:jc w:val="left"/>
        <w:textAlignment w:val="auto"/>
        <w:rPr>
          <w:rFonts w:hint="eastAsia" w:ascii="宋体" w:hAnsi="宋体" w:eastAsia="宋体" w:cs="宋体"/>
          <w:b w:val="0"/>
          <w:bCs w:val="0"/>
          <w:color w:val="000000"/>
          <w:sz w:val="24"/>
          <w:szCs w:val="24"/>
        </w:rPr>
      </w:pPr>
      <w:r>
        <w:rPr>
          <w:rFonts w:hint="eastAsia" w:ascii="宋体" w:hAnsi="宋体" w:eastAsia="宋体" w:cs="宋体"/>
          <w:b w:val="0"/>
          <w:bCs w:val="0"/>
          <w:color w:val="000000"/>
          <w:sz w:val="24"/>
          <w:szCs w:val="24"/>
        </w:rPr>
        <w:t>年平均日照时数：1600~1800 小时；</w:t>
      </w:r>
    </w:p>
    <w:p w14:paraId="14648C41"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tLeast"/>
        <w:ind w:leftChars="0" w:right="0" w:rightChars="0" w:firstLine="480" w:firstLineChars="200"/>
        <w:jc w:val="left"/>
        <w:textAlignment w:val="auto"/>
        <w:rPr>
          <w:rFonts w:hint="eastAsia" w:ascii="宋体" w:hAnsi="宋体" w:eastAsia="宋体" w:cs="宋体"/>
          <w:b w:val="0"/>
          <w:bCs w:val="0"/>
          <w:color w:val="000000"/>
          <w:sz w:val="24"/>
          <w:szCs w:val="24"/>
        </w:rPr>
      </w:pPr>
      <w:r>
        <w:rPr>
          <w:rFonts w:hint="eastAsia" w:ascii="宋体" w:hAnsi="宋体" w:eastAsia="宋体" w:cs="宋体"/>
          <w:b w:val="0"/>
          <w:bCs w:val="0"/>
          <w:color w:val="000000"/>
          <w:sz w:val="24"/>
          <w:szCs w:val="24"/>
        </w:rPr>
        <w:t>年平均降水量：1300~1600mm，</w:t>
      </w:r>
      <w:r>
        <w:rPr>
          <w:rStyle w:val="14"/>
          <w:rFonts w:hint="eastAsia" w:ascii="宋体" w:hAnsi="宋体" w:eastAsia="宋体" w:cs="宋体"/>
          <w:b w:val="0"/>
          <w:bCs w:val="0"/>
          <w:color w:val="000000"/>
          <w:sz w:val="24"/>
          <w:szCs w:val="24"/>
        </w:rPr>
        <w:t>雨季（4~9 月）降水量占全年的 80% 以上</w:t>
      </w:r>
      <w:r>
        <w:rPr>
          <w:rFonts w:hint="eastAsia" w:ascii="宋体" w:hAnsi="宋体" w:eastAsia="宋体" w:cs="宋体"/>
          <w:b w:val="0"/>
          <w:bCs w:val="0"/>
          <w:color w:val="000000"/>
          <w:sz w:val="24"/>
          <w:szCs w:val="24"/>
        </w:rPr>
        <w:t>，汛期（6~8 月）为降雨高峰期；</w:t>
      </w:r>
    </w:p>
    <w:p w14:paraId="76FD7D5A"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tLeast"/>
        <w:ind w:leftChars="0" w:right="0" w:rightChars="0" w:firstLine="480" w:firstLineChars="200"/>
        <w:jc w:val="left"/>
        <w:textAlignment w:val="auto"/>
        <w:rPr>
          <w:rFonts w:hint="eastAsia" w:ascii="宋体" w:hAnsi="宋体" w:eastAsia="宋体" w:cs="宋体"/>
          <w:b w:val="0"/>
          <w:bCs w:val="0"/>
          <w:color w:val="000000"/>
          <w:sz w:val="24"/>
          <w:szCs w:val="24"/>
        </w:rPr>
      </w:pPr>
      <w:r>
        <w:rPr>
          <w:rFonts w:hint="eastAsia" w:ascii="宋体" w:hAnsi="宋体" w:eastAsia="宋体" w:cs="宋体"/>
          <w:b w:val="0"/>
          <w:bCs w:val="0"/>
          <w:color w:val="000000"/>
          <w:sz w:val="24"/>
          <w:szCs w:val="24"/>
        </w:rPr>
        <w:t>年平均蒸发量：1200~1400mm，冬春季节蒸发量较小，夏秋季节蒸发量较大。</w:t>
      </w:r>
    </w:p>
    <w:p w14:paraId="1DDD9E97"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tLeast"/>
        <w:ind w:leftChars="0" w:right="0" w:rightChars="0" w:firstLine="480" w:firstLineChars="200"/>
        <w:jc w:val="left"/>
        <w:textAlignment w:val="auto"/>
        <w:rPr>
          <w:rFonts w:hint="eastAsia" w:ascii="宋体" w:hAnsi="宋体" w:eastAsia="宋体" w:cs="宋体"/>
          <w:b w:val="0"/>
          <w:bCs w:val="0"/>
          <w:color w:val="000000"/>
          <w:sz w:val="24"/>
          <w:szCs w:val="24"/>
        </w:rPr>
      </w:pPr>
      <w:r>
        <w:rPr>
          <w:rStyle w:val="14"/>
          <w:rFonts w:hint="eastAsia" w:ascii="宋体" w:hAnsi="宋体" w:eastAsia="宋体" w:cs="宋体"/>
          <w:b w:val="0"/>
          <w:bCs w:val="0"/>
          <w:color w:val="000000"/>
          <w:kern w:val="0"/>
          <w:sz w:val="24"/>
          <w:szCs w:val="24"/>
          <w:lang w:val="en-US" w:eastAsia="zh-CN" w:bidi="ar"/>
        </w:rPr>
        <w:t>表 2.3-1 柳州市区多年平均逐月降雨量（单位：毫米）</w:t>
      </w:r>
    </w:p>
    <w:p w14:paraId="3B20103C"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tLeast"/>
        <w:ind w:leftChars="0" w:right="0" w:rightChars="0" w:firstLine="480" w:firstLineChars="200"/>
        <w:jc w:val="left"/>
        <w:textAlignment w:val="auto"/>
        <w:rPr>
          <w:rFonts w:hint="eastAsia" w:ascii="宋体" w:hAnsi="宋体" w:eastAsia="宋体" w:cs="宋体"/>
          <w:b w:val="0"/>
          <w:bCs w:val="0"/>
          <w:color w:val="000000"/>
          <w:sz w:val="24"/>
          <w:szCs w:val="24"/>
        </w:rPr>
      </w:pPr>
      <w:r>
        <w:rPr>
          <w:rFonts w:hint="eastAsia" w:ascii="宋体" w:hAnsi="宋体" w:eastAsia="宋体" w:cs="宋体"/>
          <w:b w:val="0"/>
          <w:bCs w:val="0"/>
          <w:color w:val="000000"/>
          <w:kern w:val="0"/>
          <w:sz w:val="24"/>
          <w:szCs w:val="24"/>
          <w:lang w:val="en-US" w:eastAsia="zh-CN" w:bidi="ar"/>
        </w:rPr>
        <w:t>表格</w:t>
      </w:r>
    </w:p>
    <w:tbl>
      <w:tblPr>
        <w:tblStyle w:val="11"/>
        <w:tblW w:w="4996" w:type="pct"/>
        <w:tblCellSpacing w:w="15" w:type="dxa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shd w:val="clear" w:color="auto" w:fill="auto"/>
        <w:tblLayout w:type="autofit"/>
        <w:tblCellMar>
          <w:top w:w="0" w:type="dxa"/>
          <w:left w:w="0" w:type="dxa"/>
          <w:bottom w:w="0" w:type="dxa"/>
          <w:right w:w="0" w:type="dxa"/>
        </w:tblCellMar>
      </w:tblPr>
      <w:tblGrid>
        <w:gridCol w:w="801"/>
        <w:gridCol w:w="534"/>
        <w:gridCol w:w="534"/>
        <w:gridCol w:w="534"/>
        <w:gridCol w:w="660"/>
        <w:gridCol w:w="660"/>
        <w:gridCol w:w="660"/>
        <w:gridCol w:w="660"/>
        <w:gridCol w:w="660"/>
        <w:gridCol w:w="660"/>
        <w:gridCol w:w="660"/>
        <w:gridCol w:w="660"/>
        <w:gridCol w:w="676"/>
      </w:tblGrid>
      <w:tr w14:paraId="2452B248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blHeader/>
          <w:tblCellSpacing w:w="15" w:type="dxa"/>
        </w:trPr>
        <w:tc>
          <w:tcPr>
            <w:tcW w:w="452" w:type="pct"/>
            <w:shd w:val="clear" w:color="auto" w:fill="auto"/>
            <w:vAlign w:val="center"/>
          </w:tcPr>
          <w:p w14:paraId="323B6FE8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平均年降雨量</w:t>
            </w:r>
          </w:p>
        </w:tc>
        <w:tc>
          <w:tcPr>
            <w:tcW w:w="301" w:type="pct"/>
            <w:shd w:val="clear" w:color="auto" w:fill="auto"/>
            <w:vAlign w:val="center"/>
          </w:tcPr>
          <w:p w14:paraId="218476FA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1 月</w:t>
            </w:r>
          </w:p>
        </w:tc>
        <w:tc>
          <w:tcPr>
            <w:tcW w:w="301" w:type="pct"/>
            <w:shd w:val="clear" w:color="auto" w:fill="auto"/>
            <w:vAlign w:val="center"/>
          </w:tcPr>
          <w:p w14:paraId="26555100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2 月</w:t>
            </w:r>
          </w:p>
        </w:tc>
        <w:tc>
          <w:tcPr>
            <w:tcW w:w="301" w:type="pct"/>
            <w:shd w:val="clear" w:color="auto" w:fill="auto"/>
            <w:vAlign w:val="center"/>
          </w:tcPr>
          <w:p w14:paraId="0656E562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3 月</w:t>
            </w:r>
          </w:p>
        </w:tc>
        <w:tc>
          <w:tcPr>
            <w:tcW w:w="376" w:type="pct"/>
            <w:shd w:val="clear" w:color="auto" w:fill="auto"/>
            <w:vAlign w:val="center"/>
          </w:tcPr>
          <w:p w14:paraId="74FF8894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4 月</w:t>
            </w:r>
          </w:p>
        </w:tc>
        <w:tc>
          <w:tcPr>
            <w:tcW w:w="376" w:type="pct"/>
            <w:shd w:val="clear" w:color="auto" w:fill="auto"/>
            <w:vAlign w:val="center"/>
          </w:tcPr>
          <w:p w14:paraId="57B91E6B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5 月</w:t>
            </w:r>
          </w:p>
        </w:tc>
        <w:tc>
          <w:tcPr>
            <w:tcW w:w="376" w:type="pct"/>
            <w:shd w:val="clear" w:color="auto" w:fill="auto"/>
            <w:vAlign w:val="center"/>
          </w:tcPr>
          <w:p w14:paraId="42AB3CF5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6 月</w:t>
            </w:r>
          </w:p>
        </w:tc>
        <w:tc>
          <w:tcPr>
            <w:tcW w:w="376" w:type="pct"/>
            <w:shd w:val="clear" w:color="auto" w:fill="auto"/>
            <w:vAlign w:val="center"/>
          </w:tcPr>
          <w:p w14:paraId="722314AC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7 月</w:t>
            </w:r>
          </w:p>
        </w:tc>
        <w:tc>
          <w:tcPr>
            <w:tcW w:w="376" w:type="pct"/>
            <w:shd w:val="clear" w:color="auto" w:fill="auto"/>
            <w:vAlign w:val="center"/>
          </w:tcPr>
          <w:p w14:paraId="7E8AE3CC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8 月</w:t>
            </w:r>
          </w:p>
        </w:tc>
        <w:tc>
          <w:tcPr>
            <w:tcW w:w="376" w:type="pct"/>
            <w:shd w:val="clear" w:color="auto" w:fill="auto"/>
            <w:vAlign w:val="center"/>
          </w:tcPr>
          <w:p w14:paraId="32982E81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9 月</w:t>
            </w:r>
          </w:p>
        </w:tc>
        <w:tc>
          <w:tcPr>
            <w:tcW w:w="376" w:type="pct"/>
            <w:shd w:val="clear" w:color="auto" w:fill="auto"/>
            <w:vAlign w:val="center"/>
          </w:tcPr>
          <w:p w14:paraId="5C2B0B04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10 月</w:t>
            </w:r>
          </w:p>
        </w:tc>
        <w:tc>
          <w:tcPr>
            <w:tcW w:w="376" w:type="pct"/>
            <w:shd w:val="clear" w:color="auto" w:fill="auto"/>
            <w:vAlign w:val="center"/>
          </w:tcPr>
          <w:p w14:paraId="2EFDC5F7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11 月</w:t>
            </w:r>
          </w:p>
        </w:tc>
        <w:tc>
          <w:tcPr>
            <w:tcW w:w="377" w:type="pct"/>
            <w:shd w:val="clear" w:color="auto" w:fill="auto"/>
            <w:vAlign w:val="center"/>
          </w:tcPr>
          <w:p w14:paraId="685CA0DA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12 月</w:t>
            </w:r>
          </w:p>
        </w:tc>
      </w:tr>
      <w:tr w14:paraId="482C42A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blCellSpacing w:w="15" w:type="dxa"/>
        </w:trPr>
        <w:tc>
          <w:tcPr>
            <w:tcW w:w="452" w:type="pct"/>
            <w:shd w:val="clear" w:color="auto" w:fill="auto"/>
            <w:vAlign w:val="center"/>
          </w:tcPr>
          <w:p w14:paraId="031A2404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1450mm</w:t>
            </w:r>
          </w:p>
        </w:tc>
        <w:tc>
          <w:tcPr>
            <w:tcW w:w="301" w:type="pct"/>
            <w:shd w:val="clear" w:color="auto" w:fill="auto"/>
            <w:vAlign w:val="center"/>
          </w:tcPr>
          <w:p w14:paraId="224C990D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45.2</w:t>
            </w:r>
          </w:p>
        </w:tc>
        <w:tc>
          <w:tcPr>
            <w:tcW w:w="301" w:type="pct"/>
            <w:shd w:val="clear" w:color="auto" w:fill="auto"/>
            <w:vAlign w:val="center"/>
          </w:tcPr>
          <w:p w14:paraId="53E86827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68.5</w:t>
            </w:r>
          </w:p>
        </w:tc>
        <w:tc>
          <w:tcPr>
            <w:tcW w:w="301" w:type="pct"/>
            <w:shd w:val="clear" w:color="auto" w:fill="auto"/>
            <w:vAlign w:val="center"/>
          </w:tcPr>
          <w:p w14:paraId="4410F07A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92.3</w:t>
            </w:r>
          </w:p>
        </w:tc>
        <w:tc>
          <w:tcPr>
            <w:tcW w:w="376" w:type="pct"/>
            <w:shd w:val="clear" w:color="auto" w:fill="auto"/>
            <w:vAlign w:val="center"/>
          </w:tcPr>
          <w:p w14:paraId="40142F35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156.7</w:t>
            </w:r>
          </w:p>
        </w:tc>
        <w:tc>
          <w:tcPr>
            <w:tcW w:w="376" w:type="pct"/>
            <w:shd w:val="clear" w:color="auto" w:fill="auto"/>
            <w:vAlign w:val="center"/>
          </w:tcPr>
          <w:p w14:paraId="31C87C46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210.8</w:t>
            </w:r>
          </w:p>
        </w:tc>
        <w:tc>
          <w:tcPr>
            <w:tcW w:w="376" w:type="pct"/>
            <w:shd w:val="clear" w:color="auto" w:fill="auto"/>
            <w:vAlign w:val="center"/>
          </w:tcPr>
          <w:p w14:paraId="4B4131AC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235.6</w:t>
            </w:r>
          </w:p>
        </w:tc>
        <w:tc>
          <w:tcPr>
            <w:tcW w:w="376" w:type="pct"/>
            <w:shd w:val="clear" w:color="auto" w:fill="auto"/>
            <w:vAlign w:val="center"/>
          </w:tcPr>
          <w:p w14:paraId="1F59F4AD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201.4</w:t>
            </w:r>
          </w:p>
        </w:tc>
        <w:tc>
          <w:tcPr>
            <w:tcW w:w="376" w:type="pct"/>
            <w:shd w:val="clear" w:color="auto" w:fill="auto"/>
            <w:vAlign w:val="center"/>
          </w:tcPr>
          <w:p w14:paraId="44F54332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189.7</w:t>
            </w:r>
          </w:p>
        </w:tc>
        <w:tc>
          <w:tcPr>
            <w:tcW w:w="376" w:type="pct"/>
            <w:shd w:val="clear" w:color="auto" w:fill="auto"/>
            <w:vAlign w:val="center"/>
          </w:tcPr>
          <w:p w14:paraId="74B051BB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125.9</w:t>
            </w:r>
          </w:p>
        </w:tc>
        <w:tc>
          <w:tcPr>
            <w:tcW w:w="376" w:type="pct"/>
            <w:shd w:val="clear" w:color="auto" w:fill="auto"/>
            <w:vAlign w:val="center"/>
          </w:tcPr>
          <w:p w14:paraId="11713180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86.4</w:t>
            </w:r>
          </w:p>
        </w:tc>
        <w:tc>
          <w:tcPr>
            <w:tcW w:w="376" w:type="pct"/>
            <w:shd w:val="clear" w:color="auto" w:fill="auto"/>
            <w:vAlign w:val="center"/>
          </w:tcPr>
          <w:p w14:paraId="29EF30DA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52.8</w:t>
            </w:r>
          </w:p>
        </w:tc>
        <w:tc>
          <w:tcPr>
            <w:tcW w:w="377" w:type="pct"/>
            <w:shd w:val="clear" w:color="auto" w:fill="auto"/>
            <w:vAlign w:val="center"/>
          </w:tcPr>
          <w:p w14:paraId="0AC320F5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45.7</w:t>
            </w:r>
          </w:p>
        </w:tc>
      </w:tr>
    </w:tbl>
    <w:p w14:paraId="5E9A4482"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tLeast"/>
        <w:ind w:leftChars="0" w:right="0" w:rightChars="0" w:firstLine="480" w:firstLineChars="200"/>
        <w:jc w:val="left"/>
        <w:textAlignment w:val="auto"/>
        <w:rPr>
          <w:rFonts w:hint="eastAsia" w:ascii="宋体" w:hAnsi="宋体" w:eastAsia="宋体" w:cs="宋体"/>
          <w:b w:val="0"/>
          <w:bCs w:val="0"/>
          <w:color w:val="000000"/>
          <w:sz w:val="24"/>
          <w:szCs w:val="24"/>
        </w:rPr>
      </w:pPr>
      <w:r>
        <w:rPr>
          <w:rStyle w:val="14"/>
          <w:rFonts w:hint="eastAsia" w:ascii="宋体" w:hAnsi="宋体" w:eastAsia="宋体" w:cs="宋体"/>
          <w:b w:val="0"/>
          <w:bCs w:val="0"/>
          <w:color w:val="000000"/>
          <w:kern w:val="0"/>
          <w:sz w:val="24"/>
          <w:szCs w:val="24"/>
          <w:lang w:val="en-US" w:eastAsia="zh-CN" w:bidi="ar"/>
        </w:rPr>
        <w:t>表 2.3-2 柳州市近 30 年月平均蒸发量（单位：毫米）</w:t>
      </w:r>
    </w:p>
    <w:p w14:paraId="5D81A7BA"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tLeast"/>
        <w:ind w:leftChars="0" w:right="0" w:rightChars="0" w:firstLine="480" w:firstLineChars="200"/>
        <w:jc w:val="left"/>
        <w:textAlignment w:val="auto"/>
        <w:rPr>
          <w:rFonts w:hint="eastAsia" w:ascii="宋体" w:hAnsi="宋体" w:eastAsia="宋体" w:cs="宋体"/>
          <w:b w:val="0"/>
          <w:bCs w:val="0"/>
          <w:color w:val="000000"/>
          <w:sz w:val="24"/>
          <w:szCs w:val="24"/>
        </w:rPr>
      </w:pPr>
      <w:r>
        <w:rPr>
          <w:rFonts w:hint="eastAsia" w:ascii="宋体" w:hAnsi="宋体" w:eastAsia="宋体" w:cs="宋体"/>
          <w:b w:val="0"/>
          <w:bCs w:val="0"/>
          <w:color w:val="000000"/>
          <w:kern w:val="0"/>
          <w:sz w:val="24"/>
          <w:szCs w:val="24"/>
          <w:lang w:val="en-US" w:eastAsia="zh-CN" w:bidi="ar"/>
        </w:rPr>
        <w:t>表格</w:t>
      </w:r>
    </w:p>
    <w:tbl>
      <w:tblPr>
        <w:tblStyle w:val="11"/>
        <w:tblW w:w="4994" w:type="pct"/>
        <w:tblCellSpacing w:w="15" w:type="dxa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shd w:val="clear" w:color="auto" w:fill="auto"/>
        <w:tblLayout w:type="autofit"/>
        <w:tblCellMar>
          <w:top w:w="0" w:type="dxa"/>
          <w:left w:w="0" w:type="dxa"/>
          <w:bottom w:w="0" w:type="dxa"/>
          <w:right w:w="0" w:type="dxa"/>
        </w:tblCellMar>
      </w:tblPr>
      <w:tblGrid>
        <w:gridCol w:w="1130"/>
        <w:gridCol w:w="510"/>
        <w:gridCol w:w="510"/>
        <w:gridCol w:w="510"/>
        <w:gridCol w:w="631"/>
        <w:gridCol w:w="631"/>
        <w:gridCol w:w="631"/>
        <w:gridCol w:w="631"/>
        <w:gridCol w:w="631"/>
        <w:gridCol w:w="631"/>
        <w:gridCol w:w="631"/>
        <w:gridCol w:w="631"/>
        <w:gridCol w:w="648"/>
      </w:tblGrid>
      <w:tr w14:paraId="0A4628DB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blHeader/>
          <w:tblCellSpacing w:w="15" w:type="dxa"/>
        </w:trPr>
        <w:tc>
          <w:tcPr>
            <w:tcW w:w="648" w:type="pct"/>
            <w:shd w:val="clear" w:color="auto" w:fill="auto"/>
            <w:vAlign w:val="center"/>
          </w:tcPr>
          <w:p w14:paraId="326BCBE0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年份</w:t>
            </w:r>
          </w:p>
        </w:tc>
        <w:tc>
          <w:tcPr>
            <w:tcW w:w="287" w:type="pct"/>
            <w:shd w:val="clear" w:color="auto" w:fill="auto"/>
            <w:vAlign w:val="center"/>
          </w:tcPr>
          <w:p w14:paraId="552A1AB5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1 月</w:t>
            </w:r>
          </w:p>
        </w:tc>
        <w:tc>
          <w:tcPr>
            <w:tcW w:w="287" w:type="pct"/>
            <w:shd w:val="clear" w:color="auto" w:fill="auto"/>
            <w:vAlign w:val="center"/>
          </w:tcPr>
          <w:p w14:paraId="1AF375DD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2 月</w:t>
            </w:r>
          </w:p>
        </w:tc>
        <w:tc>
          <w:tcPr>
            <w:tcW w:w="287" w:type="pct"/>
            <w:shd w:val="clear" w:color="auto" w:fill="auto"/>
            <w:vAlign w:val="center"/>
          </w:tcPr>
          <w:p w14:paraId="6A01FF9B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3 月</w:t>
            </w:r>
          </w:p>
        </w:tc>
        <w:tc>
          <w:tcPr>
            <w:tcW w:w="359" w:type="pct"/>
            <w:shd w:val="clear" w:color="auto" w:fill="auto"/>
            <w:vAlign w:val="center"/>
          </w:tcPr>
          <w:p w14:paraId="5BA6F879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4 月</w:t>
            </w:r>
          </w:p>
        </w:tc>
        <w:tc>
          <w:tcPr>
            <w:tcW w:w="359" w:type="pct"/>
            <w:shd w:val="clear" w:color="auto" w:fill="auto"/>
            <w:vAlign w:val="center"/>
          </w:tcPr>
          <w:p w14:paraId="3F046B07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5 月</w:t>
            </w:r>
          </w:p>
        </w:tc>
        <w:tc>
          <w:tcPr>
            <w:tcW w:w="359" w:type="pct"/>
            <w:shd w:val="clear" w:color="auto" w:fill="auto"/>
            <w:vAlign w:val="center"/>
          </w:tcPr>
          <w:p w14:paraId="6018070E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6 月</w:t>
            </w:r>
          </w:p>
        </w:tc>
        <w:tc>
          <w:tcPr>
            <w:tcW w:w="359" w:type="pct"/>
            <w:shd w:val="clear" w:color="auto" w:fill="auto"/>
            <w:vAlign w:val="center"/>
          </w:tcPr>
          <w:p w14:paraId="7DD0457C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7 月</w:t>
            </w:r>
          </w:p>
        </w:tc>
        <w:tc>
          <w:tcPr>
            <w:tcW w:w="359" w:type="pct"/>
            <w:shd w:val="clear" w:color="auto" w:fill="auto"/>
            <w:vAlign w:val="center"/>
          </w:tcPr>
          <w:p w14:paraId="2A24FB6B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8 月</w:t>
            </w:r>
          </w:p>
        </w:tc>
        <w:tc>
          <w:tcPr>
            <w:tcW w:w="359" w:type="pct"/>
            <w:shd w:val="clear" w:color="auto" w:fill="auto"/>
            <w:vAlign w:val="center"/>
          </w:tcPr>
          <w:p w14:paraId="408F323E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9 月</w:t>
            </w:r>
          </w:p>
        </w:tc>
        <w:tc>
          <w:tcPr>
            <w:tcW w:w="359" w:type="pct"/>
            <w:shd w:val="clear" w:color="auto" w:fill="auto"/>
            <w:vAlign w:val="center"/>
          </w:tcPr>
          <w:p w14:paraId="718CEEEE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10 月</w:t>
            </w:r>
          </w:p>
        </w:tc>
        <w:tc>
          <w:tcPr>
            <w:tcW w:w="359" w:type="pct"/>
            <w:shd w:val="clear" w:color="auto" w:fill="auto"/>
            <w:vAlign w:val="center"/>
          </w:tcPr>
          <w:p w14:paraId="63CE4C48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11 月</w:t>
            </w:r>
          </w:p>
        </w:tc>
        <w:tc>
          <w:tcPr>
            <w:tcW w:w="360" w:type="pct"/>
            <w:shd w:val="clear" w:color="auto" w:fill="auto"/>
            <w:vAlign w:val="center"/>
          </w:tcPr>
          <w:p w14:paraId="603CA1C5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12 月</w:t>
            </w:r>
          </w:p>
        </w:tc>
      </w:tr>
      <w:tr w14:paraId="2C3CD9BD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blCellSpacing w:w="15" w:type="dxa"/>
        </w:trPr>
        <w:tc>
          <w:tcPr>
            <w:tcW w:w="648" w:type="pct"/>
            <w:shd w:val="clear" w:color="auto" w:fill="auto"/>
            <w:vAlign w:val="center"/>
          </w:tcPr>
          <w:p w14:paraId="15525822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1995-2025</w:t>
            </w:r>
          </w:p>
        </w:tc>
        <w:tc>
          <w:tcPr>
            <w:tcW w:w="287" w:type="pct"/>
            <w:shd w:val="clear" w:color="auto" w:fill="auto"/>
            <w:vAlign w:val="center"/>
          </w:tcPr>
          <w:p w14:paraId="325A8341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85.6</w:t>
            </w:r>
          </w:p>
        </w:tc>
        <w:tc>
          <w:tcPr>
            <w:tcW w:w="287" w:type="pct"/>
            <w:shd w:val="clear" w:color="auto" w:fill="auto"/>
            <w:vAlign w:val="center"/>
          </w:tcPr>
          <w:p w14:paraId="642D1306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78.9</w:t>
            </w:r>
          </w:p>
        </w:tc>
        <w:tc>
          <w:tcPr>
            <w:tcW w:w="287" w:type="pct"/>
            <w:shd w:val="clear" w:color="auto" w:fill="auto"/>
            <w:vAlign w:val="center"/>
          </w:tcPr>
          <w:p w14:paraId="72C019D6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90.3</w:t>
            </w:r>
          </w:p>
        </w:tc>
        <w:tc>
          <w:tcPr>
            <w:tcW w:w="359" w:type="pct"/>
            <w:shd w:val="clear" w:color="auto" w:fill="auto"/>
            <w:vAlign w:val="center"/>
          </w:tcPr>
          <w:p w14:paraId="6F4C46E4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105.7</w:t>
            </w:r>
          </w:p>
        </w:tc>
        <w:tc>
          <w:tcPr>
            <w:tcW w:w="359" w:type="pct"/>
            <w:shd w:val="clear" w:color="auto" w:fill="auto"/>
            <w:vAlign w:val="center"/>
          </w:tcPr>
          <w:p w14:paraId="5EAD3719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132.4</w:t>
            </w:r>
          </w:p>
        </w:tc>
        <w:tc>
          <w:tcPr>
            <w:tcW w:w="359" w:type="pct"/>
            <w:shd w:val="clear" w:color="auto" w:fill="auto"/>
            <w:vAlign w:val="center"/>
          </w:tcPr>
          <w:p w14:paraId="187FA709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148.6</w:t>
            </w:r>
          </w:p>
        </w:tc>
        <w:tc>
          <w:tcPr>
            <w:tcW w:w="359" w:type="pct"/>
            <w:shd w:val="clear" w:color="auto" w:fill="auto"/>
            <w:vAlign w:val="center"/>
          </w:tcPr>
          <w:p w14:paraId="439823B2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165.2</w:t>
            </w:r>
          </w:p>
        </w:tc>
        <w:tc>
          <w:tcPr>
            <w:tcW w:w="359" w:type="pct"/>
            <w:shd w:val="clear" w:color="auto" w:fill="auto"/>
            <w:vAlign w:val="center"/>
          </w:tcPr>
          <w:p w14:paraId="22092807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158.9</w:t>
            </w:r>
          </w:p>
        </w:tc>
        <w:tc>
          <w:tcPr>
            <w:tcW w:w="359" w:type="pct"/>
            <w:shd w:val="clear" w:color="auto" w:fill="auto"/>
            <w:vAlign w:val="center"/>
          </w:tcPr>
          <w:p w14:paraId="41A078D0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142.5</w:t>
            </w:r>
          </w:p>
        </w:tc>
        <w:tc>
          <w:tcPr>
            <w:tcW w:w="359" w:type="pct"/>
            <w:shd w:val="clear" w:color="auto" w:fill="auto"/>
            <w:vAlign w:val="center"/>
          </w:tcPr>
          <w:p w14:paraId="04D86338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136.8</w:t>
            </w:r>
          </w:p>
        </w:tc>
        <w:tc>
          <w:tcPr>
            <w:tcW w:w="359" w:type="pct"/>
            <w:shd w:val="clear" w:color="auto" w:fill="auto"/>
            <w:vAlign w:val="center"/>
          </w:tcPr>
          <w:p w14:paraId="18991894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102.7</w:t>
            </w:r>
          </w:p>
        </w:tc>
        <w:tc>
          <w:tcPr>
            <w:tcW w:w="360" w:type="pct"/>
            <w:shd w:val="clear" w:color="auto" w:fill="auto"/>
            <w:vAlign w:val="center"/>
          </w:tcPr>
          <w:p w14:paraId="305F1BE4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91.5</w:t>
            </w:r>
          </w:p>
        </w:tc>
      </w:tr>
    </w:tbl>
    <w:p w14:paraId="355CB5C5">
      <w:pPr>
        <w:pStyle w:val="3"/>
        <w:numPr>
          <w:ilvl w:val="0"/>
          <w:numId w:val="1"/>
        </w:numPr>
        <w:rPr>
          <w:rFonts w:ascii="Times New Roman" w:hAnsi="Times New Roman" w:eastAsia="宋体"/>
        </w:rPr>
      </w:pPr>
      <w:r>
        <w:rPr>
          <w:rFonts w:hint="eastAsia" w:ascii="Times New Roman" w:hAnsi="Times New Roman" w:eastAsia="宋体"/>
        </w:rPr>
        <w:t>用水量估算</w:t>
      </w:r>
      <w:bookmarkEnd w:id="5"/>
    </w:p>
    <w:p w14:paraId="766E7E4C">
      <w:pPr>
        <w:pStyle w:val="4"/>
        <w:rPr>
          <w:rFonts w:ascii="Times New Roman" w:hAnsi="Times New Roman" w:eastAsia="宋体"/>
        </w:rPr>
      </w:pPr>
      <w:bookmarkStart w:id="6" w:name="_Toc61956671"/>
      <w:r>
        <w:rPr>
          <w:rFonts w:hint="eastAsia" w:ascii="Times New Roman" w:hAnsi="Times New Roman" w:eastAsia="宋体"/>
        </w:rPr>
        <w:t>3.1用水定额</w:t>
      </w:r>
      <w:bookmarkEnd w:id="6"/>
    </w:p>
    <w:p w14:paraId="4E77BA01"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tLeast"/>
        <w:ind w:leftChars="0" w:right="0" w:rightChars="0" w:firstLine="480" w:firstLineChars="200"/>
        <w:jc w:val="left"/>
        <w:textAlignment w:val="auto"/>
        <w:rPr>
          <w:rFonts w:hint="eastAsia" w:ascii="宋体" w:hAnsi="宋体" w:eastAsia="宋体" w:cs="宋体"/>
          <w:b w:val="0"/>
          <w:bCs w:val="0"/>
          <w:color w:val="000000"/>
          <w:sz w:val="24"/>
          <w:szCs w:val="24"/>
        </w:rPr>
      </w:pPr>
      <w:bookmarkStart w:id="7" w:name="_Toc61956672"/>
      <w:r>
        <w:rPr>
          <w:rFonts w:hint="eastAsia" w:ascii="宋体" w:hAnsi="宋体" w:eastAsia="宋体" w:cs="宋体"/>
          <w:b w:val="0"/>
          <w:bCs w:val="0"/>
          <w:color w:val="000000"/>
          <w:kern w:val="0"/>
          <w:sz w:val="24"/>
          <w:szCs w:val="24"/>
          <w:lang w:val="en-US" w:eastAsia="zh-CN" w:bidi="ar"/>
        </w:rPr>
        <w:t>本项目用水分为</w:t>
      </w:r>
      <w:r>
        <w:rPr>
          <w:rStyle w:val="14"/>
          <w:rFonts w:hint="eastAsia" w:ascii="宋体" w:hAnsi="宋体" w:eastAsia="宋体" w:cs="宋体"/>
          <w:b w:val="0"/>
          <w:bCs w:val="0"/>
          <w:color w:val="000000"/>
          <w:kern w:val="0"/>
          <w:sz w:val="24"/>
          <w:szCs w:val="24"/>
          <w:lang w:val="en-US" w:eastAsia="zh-CN" w:bidi="ar"/>
        </w:rPr>
        <w:t>生活用水</w:t>
      </w:r>
      <w:r>
        <w:rPr>
          <w:rFonts w:hint="eastAsia" w:ascii="宋体" w:hAnsi="宋体" w:eastAsia="宋体" w:cs="宋体"/>
          <w:b w:val="0"/>
          <w:bCs w:val="0"/>
          <w:color w:val="000000"/>
          <w:kern w:val="0"/>
          <w:sz w:val="24"/>
          <w:szCs w:val="24"/>
          <w:lang w:val="en-US" w:eastAsia="zh-CN" w:bidi="ar"/>
        </w:rPr>
        <w:t>（幼儿生活、教职工办公、厨房用水）和</w:t>
      </w:r>
      <w:r>
        <w:rPr>
          <w:rStyle w:val="14"/>
          <w:rFonts w:hint="eastAsia" w:ascii="宋体" w:hAnsi="宋体" w:eastAsia="宋体" w:cs="宋体"/>
          <w:b w:val="0"/>
          <w:bCs w:val="0"/>
          <w:color w:val="000000"/>
          <w:kern w:val="0"/>
          <w:sz w:val="24"/>
          <w:szCs w:val="24"/>
          <w:lang w:val="en-US" w:eastAsia="zh-CN" w:bidi="ar"/>
        </w:rPr>
        <w:t>杂用水</w:t>
      </w:r>
      <w:r>
        <w:rPr>
          <w:rFonts w:hint="eastAsia" w:ascii="宋体" w:hAnsi="宋体" w:eastAsia="宋体" w:cs="宋体"/>
          <w:b w:val="0"/>
          <w:bCs w:val="0"/>
          <w:color w:val="000000"/>
          <w:kern w:val="0"/>
          <w:sz w:val="24"/>
          <w:szCs w:val="24"/>
          <w:lang w:val="en-US" w:eastAsia="zh-CN" w:bidi="ar"/>
        </w:rPr>
        <w:t>（绿化灌溉、地面冲洗、车辆冲洗）两类，用水定额严格按照《民用建筑节水设计标准》GB 50555-2010 及柳州市地方用水定额要求取值，结合幼儿园实际使用特点，选取</w:t>
      </w:r>
      <w:r>
        <w:rPr>
          <w:rStyle w:val="14"/>
          <w:rFonts w:hint="eastAsia" w:ascii="宋体" w:hAnsi="宋体" w:eastAsia="宋体" w:cs="宋体"/>
          <w:b w:val="0"/>
          <w:bCs w:val="0"/>
          <w:color w:val="000000"/>
          <w:kern w:val="0"/>
          <w:sz w:val="24"/>
          <w:szCs w:val="24"/>
          <w:lang w:val="en-US" w:eastAsia="zh-CN" w:bidi="ar"/>
        </w:rPr>
        <w:t>节水型用水定额</w:t>
      </w:r>
      <w:r>
        <w:rPr>
          <w:rFonts w:hint="eastAsia" w:ascii="宋体" w:hAnsi="宋体" w:eastAsia="宋体" w:cs="宋体"/>
          <w:b w:val="0"/>
          <w:bCs w:val="0"/>
          <w:color w:val="000000"/>
          <w:kern w:val="0"/>
          <w:sz w:val="24"/>
          <w:szCs w:val="24"/>
          <w:lang w:val="en-US" w:eastAsia="zh-CN" w:bidi="ar"/>
        </w:rPr>
        <w:t>，具体如下：</w:t>
      </w:r>
    </w:p>
    <w:p w14:paraId="36057BBE"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tLeast"/>
        <w:ind w:leftChars="0" w:right="0" w:rightChars="0" w:firstLine="480" w:firstLineChars="200"/>
        <w:jc w:val="left"/>
        <w:textAlignment w:val="auto"/>
        <w:rPr>
          <w:rFonts w:hint="eastAsia" w:ascii="宋体" w:hAnsi="宋体" w:eastAsia="宋体" w:cs="宋体"/>
          <w:b w:val="0"/>
          <w:bCs w:val="0"/>
          <w:color w:val="000000"/>
          <w:sz w:val="24"/>
          <w:szCs w:val="24"/>
        </w:rPr>
      </w:pPr>
      <w:r>
        <w:rPr>
          <w:rStyle w:val="14"/>
          <w:rFonts w:hint="eastAsia" w:ascii="宋体" w:hAnsi="宋体" w:eastAsia="宋体" w:cs="宋体"/>
          <w:b w:val="0"/>
          <w:bCs w:val="0"/>
          <w:color w:val="000000"/>
          <w:kern w:val="0"/>
          <w:sz w:val="24"/>
          <w:szCs w:val="24"/>
          <w:lang w:val="en-US" w:eastAsia="zh-CN" w:bidi="ar"/>
        </w:rPr>
        <w:t>表 3-1 平均日生活用水及杂用水节水用水定额</w:t>
      </w:r>
    </w:p>
    <w:p w14:paraId="31566C4B"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tLeast"/>
        <w:ind w:leftChars="0" w:right="0" w:rightChars="0" w:firstLine="480" w:firstLineChars="200"/>
        <w:jc w:val="left"/>
        <w:textAlignment w:val="auto"/>
        <w:rPr>
          <w:rFonts w:hint="eastAsia" w:ascii="宋体" w:hAnsi="宋体" w:eastAsia="宋体" w:cs="宋体"/>
          <w:b w:val="0"/>
          <w:bCs w:val="0"/>
          <w:color w:val="000000"/>
          <w:sz w:val="24"/>
          <w:szCs w:val="24"/>
        </w:rPr>
      </w:pPr>
      <w:r>
        <w:rPr>
          <w:rFonts w:hint="eastAsia" w:ascii="宋体" w:hAnsi="宋体" w:eastAsia="宋体" w:cs="宋体"/>
          <w:b w:val="0"/>
          <w:bCs w:val="0"/>
          <w:color w:val="000000"/>
          <w:kern w:val="0"/>
          <w:sz w:val="24"/>
          <w:szCs w:val="24"/>
          <w:lang w:val="en-US" w:eastAsia="zh-CN" w:bidi="ar"/>
        </w:rPr>
        <w:t>表格</w:t>
      </w:r>
    </w:p>
    <w:tbl>
      <w:tblPr>
        <w:tblStyle w:val="11"/>
        <w:tblW w:w="5000" w:type="pct"/>
        <w:tblCellSpacing w:w="15" w:type="dxa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shd w:val="clear" w:color="auto" w:fill="auto"/>
        <w:tblLayout w:type="autofit"/>
        <w:tblCellMar>
          <w:top w:w="0" w:type="dxa"/>
          <w:left w:w="0" w:type="dxa"/>
          <w:bottom w:w="0" w:type="dxa"/>
          <w:right w:w="0" w:type="dxa"/>
        </w:tblCellMar>
      </w:tblPr>
      <w:tblGrid>
        <w:gridCol w:w="415"/>
        <w:gridCol w:w="1406"/>
        <w:gridCol w:w="1113"/>
        <w:gridCol w:w="1085"/>
        <w:gridCol w:w="740"/>
        <w:gridCol w:w="1096"/>
        <w:gridCol w:w="2511"/>
      </w:tblGrid>
      <w:tr w14:paraId="2B9E0DA2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blHeader/>
          <w:tblCellSpacing w:w="15" w:type="dxa"/>
        </w:trPr>
        <w:tc>
          <w:tcPr>
            <w:tcW w:w="221" w:type="pct"/>
            <w:shd w:val="clear" w:color="auto" w:fill="auto"/>
            <w:vAlign w:val="center"/>
          </w:tcPr>
          <w:p w14:paraId="58B3B799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序号</w:t>
            </w:r>
          </w:p>
        </w:tc>
        <w:tc>
          <w:tcPr>
            <w:tcW w:w="822" w:type="pct"/>
            <w:shd w:val="clear" w:color="auto" w:fill="auto"/>
            <w:vAlign w:val="center"/>
          </w:tcPr>
          <w:p w14:paraId="35EC2A16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用水类别</w:t>
            </w:r>
          </w:p>
        </w:tc>
        <w:tc>
          <w:tcPr>
            <w:tcW w:w="647" w:type="pct"/>
            <w:shd w:val="clear" w:color="auto" w:fill="auto"/>
            <w:vAlign w:val="center"/>
          </w:tcPr>
          <w:p w14:paraId="62863851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节水用水定额qg​</w:t>
            </w:r>
          </w:p>
        </w:tc>
        <w:tc>
          <w:tcPr>
            <w:tcW w:w="630" w:type="pct"/>
            <w:shd w:val="clear" w:color="auto" w:fill="auto"/>
            <w:vAlign w:val="center"/>
          </w:tcPr>
          <w:p w14:paraId="0E43623F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单位</w:t>
            </w:r>
          </w:p>
        </w:tc>
        <w:tc>
          <w:tcPr>
            <w:tcW w:w="424" w:type="pct"/>
            <w:shd w:val="clear" w:color="auto" w:fill="auto"/>
            <w:vAlign w:val="center"/>
          </w:tcPr>
          <w:p w14:paraId="0E3423DA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本项目取值</w:t>
            </w:r>
          </w:p>
        </w:tc>
        <w:tc>
          <w:tcPr>
            <w:tcW w:w="637" w:type="pct"/>
            <w:shd w:val="clear" w:color="auto" w:fill="auto"/>
            <w:vAlign w:val="center"/>
          </w:tcPr>
          <w:p w14:paraId="4AB78174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备注</w:t>
            </w:r>
          </w:p>
        </w:tc>
        <w:tc>
          <w:tcPr>
            <w:tcW w:w="1473" w:type="pct"/>
            <w:shd w:val="clear" w:color="auto" w:fill="auto"/>
            <w:vAlign w:val="center"/>
          </w:tcPr>
          <w:p w14:paraId="244FFDE1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</w:p>
        </w:tc>
      </w:tr>
      <w:tr w14:paraId="358AE836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blCellSpacing w:w="15" w:type="dxa"/>
        </w:trPr>
        <w:tc>
          <w:tcPr>
            <w:tcW w:w="221" w:type="pct"/>
            <w:shd w:val="clear" w:color="auto" w:fill="auto"/>
            <w:vAlign w:val="center"/>
          </w:tcPr>
          <w:p w14:paraId="05AB1484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1</w:t>
            </w:r>
          </w:p>
        </w:tc>
        <w:tc>
          <w:tcPr>
            <w:tcW w:w="822" w:type="pct"/>
            <w:shd w:val="clear" w:color="auto" w:fill="auto"/>
            <w:vAlign w:val="center"/>
          </w:tcPr>
          <w:p w14:paraId="7A42D235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幼儿生活用水</w:t>
            </w:r>
          </w:p>
        </w:tc>
        <w:tc>
          <w:tcPr>
            <w:tcW w:w="647" w:type="pct"/>
            <w:shd w:val="clear" w:color="auto" w:fill="auto"/>
            <w:vAlign w:val="center"/>
          </w:tcPr>
          <w:p w14:paraId="0D56D741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30</w:t>
            </w:r>
          </w:p>
        </w:tc>
        <w:tc>
          <w:tcPr>
            <w:tcW w:w="630" w:type="pct"/>
            <w:shd w:val="clear" w:color="auto" w:fill="auto"/>
            <w:vAlign w:val="center"/>
          </w:tcPr>
          <w:p w14:paraId="4F15217F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L / 人・d</w:t>
            </w:r>
          </w:p>
        </w:tc>
        <w:tc>
          <w:tcPr>
            <w:tcW w:w="424" w:type="pct"/>
            <w:shd w:val="clear" w:color="auto" w:fill="auto"/>
            <w:vAlign w:val="center"/>
          </w:tcPr>
          <w:p w14:paraId="406E7068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30</w:t>
            </w:r>
          </w:p>
        </w:tc>
        <w:tc>
          <w:tcPr>
            <w:tcW w:w="637" w:type="pct"/>
            <w:shd w:val="clear" w:color="auto" w:fill="auto"/>
            <w:vAlign w:val="center"/>
          </w:tcPr>
          <w:p w14:paraId="7339BE1F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L / 人・d</w:t>
            </w:r>
          </w:p>
        </w:tc>
        <w:tc>
          <w:tcPr>
            <w:tcW w:w="1473" w:type="pct"/>
            <w:shd w:val="clear" w:color="auto" w:fill="auto"/>
            <w:vAlign w:val="center"/>
          </w:tcPr>
          <w:p w14:paraId="3EC4B935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含盥洗、如厕、饮水等</w:t>
            </w:r>
          </w:p>
        </w:tc>
      </w:tr>
      <w:tr w14:paraId="0906A063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blCellSpacing w:w="15" w:type="dxa"/>
        </w:trPr>
        <w:tc>
          <w:tcPr>
            <w:tcW w:w="221" w:type="pct"/>
            <w:shd w:val="clear" w:color="auto" w:fill="auto"/>
            <w:vAlign w:val="center"/>
          </w:tcPr>
          <w:p w14:paraId="2DD998AB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2</w:t>
            </w:r>
          </w:p>
        </w:tc>
        <w:tc>
          <w:tcPr>
            <w:tcW w:w="822" w:type="pct"/>
            <w:shd w:val="clear" w:color="auto" w:fill="auto"/>
            <w:vAlign w:val="center"/>
          </w:tcPr>
          <w:p w14:paraId="60B089C0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教职工办公用水</w:t>
            </w:r>
          </w:p>
        </w:tc>
        <w:tc>
          <w:tcPr>
            <w:tcW w:w="647" w:type="pct"/>
            <w:shd w:val="clear" w:color="auto" w:fill="auto"/>
            <w:vAlign w:val="center"/>
          </w:tcPr>
          <w:p w14:paraId="74CE2CE4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50</w:t>
            </w:r>
          </w:p>
        </w:tc>
        <w:tc>
          <w:tcPr>
            <w:tcW w:w="630" w:type="pct"/>
            <w:shd w:val="clear" w:color="auto" w:fill="auto"/>
            <w:vAlign w:val="center"/>
          </w:tcPr>
          <w:p w14:paraId="545BF3B4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L / 人・d</w:t>
            </w:r>
          </w:p>
        </w:tc>
        <w:tc>
          <w:tcPr>
            <w:tcW w:w="424" w:type="pct"/>
            <w:shd w:val="clear" w:color="auto" w:fill="auto"/>
            <w:vAlign w:val="center"/>
          </w:tcPr>
          <w:p w14:paraId="57BA2A81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50</w:t>
            </w:r>
          </w:p>
        </w:tc>
        <w:tc>
          <w:tcPr>
            <w:tcW w:w="637" w:type="pct"/>
            <w:shd w:val="clear" w:color="auto" w:fill="auto"/>
            <w:vAlign w:val="center"/>
          </w:tcPr>
          <w:p w14:paraId="2A007EF5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L / 人・d</w:t>
            </w:r>
          </w:p>
        </w:tc>
        <w:tc>
          <w:tcPr>
            <w:tcW w:w="1473" w:type="pct"/>
            <w:shd w:val="clear" w:color="auto" w:fill="auto"/>
            <w:vAlign w:val="center"/>
          </w:tcPr>
          <w:p w14:paraId="3B6AF2D1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含办公、盥洗、如厕等</w:t>
            </w:r>
          </w:p>
        </w:tc>
      </w:tr>
      <w:tr w14:paraId="2F2AC1E0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blCellSpacing w:w="15" w:type="dxa"/>
        </w:trPr>
        <w:tc>
          <w:tcPr>
            <w:tcW w:w="221" w:type="pct"/>
            <w:shd w:val="clear" w:color="auto" w:fill="auto"/>
            <w:vAlign w:val="center"/>
          </w:tcPr>
          <w:p w14:paraId="39478018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3</w:t>
            </w:r>
          </w:p>
        </w:tc>
        <w:tc>
          <w:tcPr>
            <w:tcW w:w="822" w:type="pct"/>
            <w:shd w:val="clear" w:color="auto" w:fill="auto"/>
            <w:vAlign w:val="center"/>
          </w:tcPr>
          <w:p w14:paraId="2BD9DDB4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厨房餐饮用水</w:t>
            </w:r>
          </w:p>
        </w:tc>
        <w:tc>
          <w:tcPr>
            <w:tcW w:w="647" w:type="pct"/>
            <w:shd w:val="clear" w:color="auto" w:fill="auto"/>
            <w:vAlign w:val="center"/>
          </w:tcPr>
          <w:p w14:paraId="0DDE1F63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20</w:t>
            </w:r>
          </w:p>
        </w:tc>
        <w:tc>
          <w:tcPr>
            <w:tcW w:w="630" w:type="pct"/>
            <w:shd w:val="clear" w:color="auto" w:fill="auto"/>
            <w:vAlign w:val="center"/>
          </w:tcPr>
          <w:p w14:paraId="1C20FAA7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L / 人・d</w:t>
            </w:r>
          </w:p>
        </w:tc>
        <w:tc>
          <w:tcPr>
            <w:tcW w:w="424" w:type="pct"/>
            <w:shd w:val="clear" w:color="auto" w:fill="auto"/>
            <w:vAlign w:val="center"/>
          </w:tcPr>
          <w:p w14:paraId="75528F52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20</w:t>
            </w:r>
          </w:p>
        </w:tc>
        <w:tc>
          <w:tcPr>
            <w:tcW w:w="637" w:type="pct"/>
            <w:shd w:val="clear" w:color="auto" w:fill="auto"/>
            <w:vAlign w:val="center"/>
          </w:tcPr>
          <w:p w14:paraId="47BFE7F5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L / 人・d</w:t>
            </w:r>
          </w:p>
        </w:tc>
        <w:tc>
          <w:tcPr>
            <w:tcW w:w="1473" w:type="pct"/>
            <w:shd w:val="clear" w:color="auto" w:fill="auto"/>
            <w:vAlign w:val="center"/>
          </w:tcPr>
          <w:p w14:paraId="62F6004F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按在园幼儿 + 教职工总人数计</w:t>
            </w:r>
          </w:p>
        </w:tc>
      </w:tr>
      <w:tr w14:paraId="3E8EAAA5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blCellSpacing w:w="15" w:type="dxa"/>
        </w:trPr>
        <w:tc>
          <w:tcPr>
            <w:tcW w:w="221" w:type="pct"/>
            <w:shd w:val="clear" w:color="auto" w:fill="auto"/>
            <w:vAlign w:val="center"/>
          </w:tcPr>
          <w:p w14:paraId="176506C7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4</w:t>
            </w:r>
          </w:p>
        </w:tc>
        <w:tc>
          <w:tcPr>
            <w:tcW w:w="822" w:type="pct"/>
            <w:shd w:val="clear" w:color="auto" w:fill="auto"/>
            <w:vAlign w:val="center"/>
          </w:tcPr>
          <w:p w14:paraId="0E195869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绿化灌溉用水</w:t>
            </w:r>
          </w:p>
        </w:tc>
        <w:tc>
          <w:tcPr>
            <w:tcW w:w="647" w:type="pct"/>
            <w:shd w:val="clear" w:color="auto" w:fill="auto"/>
            <w:vAlign w:val="center"/>
          </w:tcPr>
          <w:p w14:paraId="5E9342A8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2.0</w:t>
            </w:r>
          </w:p>
        </w:tc>
        <w:tc>
          <w:tcPr>
            <w:tcW w:w="630" w:type="pct"/>
            <w:shd w:val="clear" w:color="auto" w:fill="auto"/>
            <w:vAlign w:val="center"/>
          </w:tcPr>
          <w:p w14:paraId="678DDBBB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L/㎡・次</w:t>
            </w:r>
          </w:p>
        </w:tc>
        <w:tc>
          <w:tcPr>
            <w:tcW w:w="424" w:type="pct"/>
            <w:shd w:val="clear" w:color="auto" w:fill="auto"/>
            <w:vAlign w:val="center"/>
          </w:tcPr>
          <w:p w14:paraId="36F964EA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2.0</w:t>
            </w:r>
          </w:p>
        </w:tc>
        <w:tc>
          <w:tcPr>
            <w:tcW w:w="637" w:type="pct"/>
            <w:shd w:val="clear" w:color="auto" w:fill="auto"/>
            <w:vAlign w:val="center"/>
          </w:tcPr>
          <w:p w14:paraId="1A83ACE9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L/㎡・次</w:t>
            </w:r>
          </w:p>
        </w:tc>
        <w:tc>
          <w:tcPr>
            <w:tcW w:w="1473" w:type="pct"/>
            <w:shd w:val="clear" w:color="auto" w:fill="auto"/>
            <w:vAlign w:val="center"/>
          </w:tcPr>
          <w:p w14:paraId="5C844801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灌溉面积按园区绿化面积计，每周灌溉 2 次</w:t>
            </w:r>
          </w:p>
        </w:tc>
      </w:tr>
      <w:tr w14:paraId="6275D613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blCellSpacing w:w="15" w:type="dxa"/>
        </w:trPr>
        <w:tc>
          <w:tcPr>
            <w:tcW w:w="221" w:type="pct"/>
            <w:shd w:val="clear" w:color="auto" w:fill="auto"/>
            <w:vAlign w:val="center"/>
          </w:tcPr>
          <w:p w14:paraId="760E630A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5</w:t>
            </w:r>
          </w:p>
        </w:tc>
        <w:tc>
          <w:tcPr>
            <w:tcW w:w="822" w:type="pct"/>
            <w:shd w:val="clear" w:color="auto" w:fill="auto"/>
            <w:vAlign w:val="center"/>
          </w:tcPr>
          <w:p w14:paraId="3B7D0972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地面 / 车库冲洗用水</w:t>
            </w:r>
          </w:p>
        </w:tc>
        <w:tc>
          <w:tcPr>
            <w:tcW w:w="647" w:type="pct"/>
            <w:shd w:val="clear" w:color="auto" w:fill="auto"/>
            <w:vAlign w:val="center"/>
          </w:tcPr>
          <w:p w14:paraId="188563D9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1.5</w:t>
            </w:r>
          </w:p>
        </w:tc>
        <w:tc>
          <w:tcPr>
            <w:tcW w:w="630" w:type="pct"/>
            <w:shd w:val="clear" w:color="auto" w:fill="auto"/>
            <w:vAlign w:val="center"/>
          </w:tcPr>
          <w:p w14:paraId="5C58ACB9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L/㎡・次</w:t>
            </w:r>
          </w:p>
        </w:tc>
        <w:tc>
          <w:tcPr>
            <w:tcW w:w="424" w:type="pct"/>
            <w:shd w:val="clear" w:color="auto" w:fill="auto"/>
            <w:vAlign w:val="center"/>
          </w:tcPr>
          <w:p w14:paraId="06A8B758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1.5</w:t>
            </w:r>
          </w:p>
        </w:tc>
        <w:tc>
          <w:tcPr>
            <w:tcW w:w="637" w:type="pct"/>
            <w:shd w:val="clear" w:color="auto" w:fill="auto"/>
            <w:vAlign w:val="center"/>
          </w:tcPr>
          <w:p w14:paraId="0381B87A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L/㎡・次</w:t>
            </w:r>
          </w:p>
        </w:tc>
        <w:tc>
          <w:tcPr>
            <w:tcW w:w="1473" w:type="pct"/>
            <w:shd w:val="clear" w:color="auto" w:fill="auto"/>
            <w:vAlign w:val="center"/>
          </w:tcPr>
          <w:p w14:paraId="069BF0D2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冲洗面积按园区硬化地面计，每周冲洗 1 次</w:t>
            </w:r>
          </w:p>
        </w:tc>
      </w:tr>
      <w:tr w14:paraId="1A8CA1CC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blCellSpacing w:w="15" w:type="dxa"/>
        </w:trPr>
        <w:tc>
          <w:tcPr>
            <w:tcW w:w="221" w:type="pct"/>
            <w:shd w:val="clear" w:color="auto" w:fill="auto"/>
            <w:vAlign w:val="center"/>
          </w:tcPr>
          <w:p w14:paraId="6258DEF3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6</w:t>
            </w:r>
          </w:p>
        </w:tc>
        <w:tc>
          <w:tcPr>
            <w:tcW w:w="822" w:type="pct"/>
            <w:shd w:val="clear" w:color="auto" w:fill="auto"/>
            <w:vAlign w:val="center"/>
          </w:tcPr>
          <w:p w14:paraId="56EF924E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车辆冲洗用水</w:t>
            </w:r>
          </w:p>
        </w:tc>
        <w:tc>
          <w:tcPr>
            <w:tcW w:w="647" w:type="pct"/>
            <w:shd w:val="clear" w:color="auto" w:fill="auto"/>
            <w:vAlign w:val="center"/>
          </w:tcPr>
          <w:p w14:paraId="6857F565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40</w:t>
            </w:r>
          </w:p>
        </w:tc>
        <w:tc>
          <w:tcPr>
            <w:tcW w:w="630" w:type="pct"/>
            <w:shd w:val="clear" w:color="auto" w:fill="auto"/>
            <w:vAlign w:val="center"/>
          </w:tcPr>
          <w:p w14:paraId="4FC1D474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L / 辆・次</w:t>
            </w:r>
          </w:p>
        </w:tc>
        <w:tc>
          <w:tcPr>
            <w:tcW w:w="424" w:type="pct"/>
            <w:shd w:val="clear" w:color="auto" w:fill="auto"/>
            <w:vAlign w:val="center"/>
          </w:tcPr>
          <w:p w14:paraId="57D4ACFC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40</w:t>
            </w:r>
          </w:p>
        </w:tc>
        <w:tc>
          <w:tcPr>
            <w:tcW w:w="637" w:type="pct"/>
            <w:shd w:val="clear" w:color="auto" w:fill="auto"/>
            <w:vAlign w:val="center"/>
          </w:tcPr>
          <w:p w14:paraId="76978711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L / 辆・次</w:t>
            </w:r>
          </w:p>
        </w:tc>
        <w:tc>
          <w:tcPr>
            <w:tcW w:w="1473" w:type="pct"/>
            <w:shd w:val="clear" w:color="auto" w:fill="auto"/>
            <w:vAlign w:val="center"/>
          </w:tcPr>
          <w:p w14:paraId="062E16AE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园区工作车辆，每日冲洗 1 次</w:t>
            </w:r>
          </w:p>
        </w:tc>
      </w:tr>
    </w:tbl>
    <w:p w14:paraId="3FEBE664">
      <w:pPr>
        <w:pStyle w:val="4"/>
        <w:rPr>
          <w:rFonts w:ascii="Times New Roman" w:hAnsi="Times New Roman" w:eastAsia="宋体"/>
        </w:rPr>
      </w:pPr>
      <w:r>
        <w:rPr>
          <w:rFonts w:hint="eastAsia" w:ascii="Times New Roman" w:hAnsi="Times New Roman" w:eastAsia="宋体"/>
        </w:rPr>
        <w:t>3.2用水量估算</w:t>
      </w:r>
      <w:bookmarkEnd w:id="7"/>
    </w:p>
    <w:p w14:paraId="186ACED1"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tLeast"/>
        <w:ind w:leftChars="0" w:right="0" w:rightChars="0" w:firstLine="480" w:firstLineChars="200"/>
        <w:jc w:val="left"/>
        <w:textAlignment w:val="auto"/>
        <w:rPr>
          <w:rFonts w:hint="eastAsia" w:ascii="宋体" w:hAnsi="宋体" w:eastAsia="宋体" w:cs="宋体"/>
          <w:b w:val="0"/>
          <w:bCs w:val="0"/>
          <w:color w:val="000000"/>
          <w:sz w:val="24"/>
          <w:szCs w:val="24"/>
        </w:rPr>
      </w:pPr>
      <w:bookmarkStart w:id="8" w:name="_Toc61956673"/>
      <w:r>
        <w:rPr>
          <w:rFonts w:hint="eastAsia" w:ascii="宋体" w:hAnsi="宋体" w:eastAsia="宋体" w:cs="宋体"/>
          <w:b w:val="0"/>
          <w:bCs w:val="0"/>
          <w:color w:val="000000"/>
          <w:kern w:val="0"/>
          <w:sz w:val="24"/>
          <w:szCs w:val="24"/>
          <w:lang w:val="en-US" w:eastAsia="zh-CN" w:bidi="ar"/>
        </w:rPr>
        <w:t>本项目用水基数：幼儿 360 人，教职工 40 人，园区绿化面积 800㎡，硬化地面面积 1200㎡，工作车辆 5 辆；幼儿园年运营天数按</w:t>
      </w:r>
      <w:r>
        <w:rPr>
          <w:rStyle w:val="14"/>
          <w:rFonts w:hint="eastAsia" w:ascii="宋体" w:hAnsi="宋体" w:eastAsia="宋体" w:cs="宋体"/>
          <w:b w:val="0"/>
          <w:bCs w:val="0"/>
          <w:color w:val="000000"/>
          <w:kern w:val="0"/>
          <w:sz w:val="24"/>
          <w:szCs w:val="24"/>
          <w:lang w:val="en-US" w:eastAsia="zh-CN" w:bidi="ar"/>
        </w:rPr>
        <w:t>250 天</w:t>
      </w:r>
      <w:r>
        <w:rPr>
          <w:rFonts w:hint="eastAsia" w:ascii="宋体" w:hAnsi="宋体" w:eastAsia="宋体" w:cs="宋体"/>
          <w:b w:val="0"/>
          <w:bCs w:val="0"/>
          <w:color w:val="000000"/>
          <w:kern w:val="0"/>
          <w:sz w:val="24"/>
          <w:szCs w:val="24"/>
          <w:lang w:val="en-US" w:eastAsia="zh-CN" w:bidi="ar"/>
        </w:rPr>
        <w:t>计（扣除节假日、寒暑假）。</w:t>
      </w:r>
    </w:p>
    <w:p w14:paraId="5046C922"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tLeast"/>
        <w:ind w:leftChars="0" w:right="0" w:rightChars="0" w:firstLine="480" w:firstLineChars="200"/>
        <w:jc w:val="left"/>
        <w:textAlignment w:val="auto"/>
        <w:rPr>
          <w:rFonts w:hint="eastAsia" w:ascii="宋体" w:hAnsi="宋体" w:eastAsia="宋体" w:cs="宋体"/>
          <w:b w:val="0"/>
          <w:bCs w:val="0"/>
          <w:color w:val="000000"/>
          <w:sz w:val="24"/>
          <w:szCs w:val="24"/>
        </w:rPr>
      </w:pPr>
      <w:r>
        <w:rPr>
          <w:rStyle w:val="14"/>
          <w:rFonts w:hint="eastAsia" w:ascii="宋体" w:hAnsi="宋体" w:eastAsia="宋体" w:cs="宋体"/>
          <w:b w:val="0"/>
          <w:bCs w:val="0"/>
          <w:color w:val="000000"/>
          <w:kern w:val="0"/>
          <w:sz w:val="24"/>
          <w:szCs w:val="24"/>
          <w:lang w:val="en-US" w:eastAsia="zh-CN" w:bidi="ar"/>
        </w:rPr>
        <w:t>表 3.2-1 各类用水单位数量统计</w:t>
      </w:r>
    </w:p>
    <w:p w14:paraId="3CD6CD4D"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tLeast"/>
        <w:ind w:leftChars="0" w:right="0" w:rightChars="0" w:firstLine="480" w:firstLineChars="200"/>
        <w:jc w:val="left"/>
        <w:textAlignment w:val="auto"/>
        <w:rPr>
          <w:rFonts w:hint="eastAsia" w:ascii="宋体" w:hAnsi="宋体" w:eastAsia="宋体" w:cs="宋体"/>
          <w:b w:val="0"/>
          <w:bCs w:val="0"/>
          <w:color w:val="000000"/>
          <w:sz w:val="24"/>
          <w:szCs w:val="24"/>
        </w:rPr>
      </w:pPr>
      <w:r>
        <w:rPr>
          <w:rFonts w:hint="eastAsia" w:ascii="宋体" w:hAnsi="宋体" w:eastAsia="宋体" w:cs="宋体"/>
          <w:b w:val="0"/>
          <w:bCs w:val="0"/>
          <w:color w:val="000000"/>
          <w:kern w:val="0"/>
          <w:sz w:val="24"/>
          <w:szCs w:val="24"/>
          <w:lang w:val="en-US" w:eastAsia="zh-CN" w:bidi="ar"/>
        </w:rPr>
        <w:t>表格</w:t>
      </w:r>
    </w:p>
    <w:tbl>
      <w:tblPr>
        <w:tblStyle w:val="11"/>
        <w:tblW w:w="0" w:type="auto"/>
        <w:tblCellSpacing w:w="15" w:type="dxa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shd w:val="clear" w:color="auto" w:fill="auto"/>
        <w:tblLayout w:type="autofit"/>
        <w:tblCellMar>
          <w:top w:w="0" w:type="dxa"/>
          <w:left w:w="0" w:type="dxa"/>
          <w:bottom w:w="0" w:type="dxa"/>
          <w:right w:w="0" w:type="dxa"/>
        </w:tblCellMar>
      </w:tblPr>
      <w:tblGrid>
        <w:gridCol w:w="525"/>
        <w:gridCol w:w="1710"/>
        <w:gridCol w:w="510"/>
        <w:gridCol w:w="510"/>
        <w:gridCol w:w="2445"/>
      </w:tblGrid>
      <w:tr w14:paraId="0F225409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blHeader/>
          <w:tblCellSpacing w:w="15" w:type="dxa"/>
        </w:trPr>
        <w:tc>
          <w:tcPr>
            <w:tcW w:w="480" w:type="dxa"/>
            <w:shd w:val="clear" w:color="auto" w:fill="auto"/>
            <w:vAlign w:val="center"/>
          </w:tcPr>
          <w:p w14:paraId="7CDE9563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序号</w:t>
            </w:r>
          </w:p>
        </w:tc>
        <w:tc>
          <w:tcPr>
            <w:tcW w:w="1680" w:type="dxa"/>
            <w:shd w:val="clear" w:color="auto" w:fill="auto"/>
            <w:vAlign w:val="center"/>
          </w:tcPr>
          <w:p w14:paraId="5E98DFCA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用水类别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6F08836F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数量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6E8DC154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单位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7DF59D83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备注</w:t>
            </w:r>
          </w:p>
        </w:tc>
      </w:tr>
      <w:tr w14:paraId="60170F2F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blCellSpacing w:w="15" w:type="dxa"/>
        </w:trPr>
        <w:tc>
          <w:tcPr>
            <w:tcW w:w="480" w:type="dxa"/>
            <w:shd w:val="clear" w:color="auto" w:fill="auto"/>
            <w:vAlign w:val="center"/>
          </w:tcPr>
          <w:p w14:paraId="5218B083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1</w:t>
            </w:r>
          </w:p>
        </w:tc>
        <w:tc>
          <w:tcPr>
            <w:tcW w:w="1680" w:type="dxa"/>
            <w:shd w:val="clear" w:color="auto" w:fill="auto"/>
            <w:vAlign w:val="center"/>
          </w:tcPr>
          <w:p w14:paraId="0E6D0213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幼儿生活用水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389706F5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360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43CB4559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人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7BDAB197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全日制在园</w:t>
            </w:r>
          </w:p>
        </w:tc>
      </w:tr>
      <w:tr w14:paraId="19B8A96E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blCellSpacing w:w="15" w:type="dxa"/>
        </w:trPr>
        <w:tc>
          <w:tcPr>
            <w:tcW w:w="480" w:type="dxa"/>
            <w:shd w:val="clear" w:color="auto" w:fill="auto"/>
            <w:vAlign w:val="center"/>
          </w:tcPr>
          <w:p w14:paraId="5247B193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2</w:t>
            </w:r>
          </w:p>
        </w:tc>
        <w:tc>
          <w:tcPr>
            <w:tcW w:w="1680" w:type="dxa"/>
            <w:shd w:val="clear" w:color="auto" w:fill="auto"/>
            <w:vAlign w:val="center"/>
          </w:tcPr>
          <w:p w14:paraId="31253F54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教职工办公用水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591C410A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40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1AF5355B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人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7D428BE2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全勤在岗</w:t>
            </w:r>
          </w:p>
        </w:tc>
      </w:tr>
      <w:tr w14:paraId="030CEE45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blCellSpacing w:w="15" w:type="dxa"/>
        </w:trPr>
        <w:tc>
          <w:tcPr>
            <w:tcW w:w="480" w:type="dxa"/>
            <w:shd w:val="clear" w:color="auto" w:fill="auto"/>
            <w:vAlign w:val="center"/>
          </w:tcPr>
          <w:p w14:paraId="5D45B9C3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3</w:t>
            </w:r>
          </w:p>
        </w:tc>
        <w:tc>
          <w:tcPr>
            <w:tcW w:w="1680" w:type="dxa"/>
            <w:shd w:val="clear" w:color="auto" w:fill="auto"/>
            <w:vAlign w:val="center"/>
          </w:tcPr>
          <w:p w14:paraId="685278DF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厨房餐饮用水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434BE4BB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400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0D9DF59A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人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0B069363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幼儿 + 教职工总人数</w:t>
            </w:r>
          </w:p>
        </w:tc>
      </w:tr>
      <w:tr w14:paraId="0AA186EB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blCellSpacing w:w="15" w:type="dxa"/>
        </w:trPr>
        <w:tc>
          <w:tcPr>
            <w:tcW w:w="480" w:type="dxa"/>
            <w:shd w:val="clear" w:color="auto" w:fill="auto"/>
            <w:vAlign w:val="center"/>
          </w:tcPr>
          <w:p w14:paraId="21903374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4</w:t>
            </w:r>
          </w:p>
        </w:tc>
        <w:tc>
          <w:tcPr>
            <w:tcW w:w="1680" w:type="dxa"/>
            <w:shd w:val="clear" w:color="auto" w:fill="auto"/>
            <w:vAlign w:val="center"/>
          </w:tcPr>
          <w:p w14:paraId="1A0C7613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绿化灌溉用水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781DBAE3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800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40EE67F5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㎡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2547F71B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园区绿化实际面积</w:t>
            </w:r>
          </w:p>
        </w:tc>
      </w:tr>
      <w:tr w14:paraId="7D3B47B9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blCellSpacing w:w="15" w:type="dxa"/>
        </w:trPr>
        <w:tc>
          <w:tcPr>
            <w:tcW w:w="480" w:type="dxa"/>
            <w:shd w:val="clear" w:color="auto" w:fill="auto"/>
            <w:vAlign w:val="center"/>
          </w:tcPr>
          <w:p w14:paraId="51D0637F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5</w:t>
            </w:r>
          </w:p>
        </w:tc>
        <w:tc>
          <w:tcPr>
            <w:tcW w:w="1680" w:type="dxa"/>
            <w:shd w:val="clear" w:color="auto" w:fill="auto"/>
            <w:vAlign w:val="center"/>
          </w:tcPr>
          <w:p w14:paraId="2FFDDC10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地面冲洗用水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4E1A687D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1200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0427A6AE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㎡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4E92120D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园区硬化地面实际面积</w:t>
            </w:r>
          </w:p>
        </w:tc>
      </w:tr>
      <w:tr w14:paraId="2F2A713D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blCellSpacing w:w="15" w:type="dxa"/>
        </w:trPr>
        <w:tc>
          <w:tcPr>
            <w:tcW w:w="480" w:type="dxa"/>
            <w:shd w:val="clear" w:color="auto" w:fill="auto"/>
            <w:vAlign w:val="center"/>
          </w:tcPr>
          <w:p w14:paraId="7FA86273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6</w:t>
            </w:r>
          </w:p>
        </w:tc>
        <w:tc>
          <w:tcPr>
            <w:tcW w:w="1680" w:type="dxa"/>
            <w:shd w:val="clear" w:color="auto" w:fill="auto"/>
            <w:vAlign w:val="center"/>
          </w:tcPr>
          <w:p w14:paraId="19807F76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车辆冲洗用水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7B6F2302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5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71575AC6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辆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21F58000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园区工作专用车辆</w:t>
            </w:r>
          </w:p>
        </w:tc>
      </w:tr>
    </w:tbl>
    <w:p w14:paraId="190A39BB"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tLeast"/>
        <w:ind w:leftChars="0" w:right="0" w:rightChars="0" w:firstLine="480" w:firstLineChars="200"/>
        <w:jc w:val="left"/>
        <w:textAlignment w:val="auto"/>
        <w:rPr>
          <w:rFonts w:hint="eastAsia" w:ascii="宋体" w:hAnsi="宋体" w:eastAsia="宋体" w:cs="宋体"/>
          <w:b w:val="0"/>
          <w:bCs w:val="0"/>
          <w:color w:val="000000"/>
          <w:sz w:val="24"/>
          <w:szCs w:val="24"/>
        </w:rPr>
      </w:pPr>
      <w:r>
        <w:rPr>
          <w:rStyle w:val="14"/>
          <w:rFonts w:hint="eastAsia" w:ascii="宋体" w:hAnsi="宋体" w:eastAsia="宋体" w:cs="宋体"/>
          <w:b w:val="0"/>
          <w:bCs w:val="0"/>
          <w:color w:val="000000"/>
          <w:kern w:val="0"/>
          <w:sz w:val="24"/>
          <w:szCs w:val="24"/>
          <w:lang w:val="en-US" w:eastAsia="zh-CN" w:bidi="ar"/>
        </w:rPr>
        <w:t>表 3.2-2 各类用水量估算</w:t>
      </w:r>
    </w:p>
    <w:p w14:paraId="17D577BB"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tLeast"/>
        <w:ind w:leftChars="0" w:right="0" w:rightChars="0" w:firstLine="480" w:firstLineChars="200"/>
        <w:jc w:val="left"/>
        <w:textAlignment w:val="auto"/>
        <w:rPr>
          <w:rFonts w:hint="eastAsia" w:ascii="宋体" w:hAnsi="宋体" w:eastAsia="宋体" w:cs="宋体"/>
          <w:b w:val="0"/>
          <w:bCs w:val="0"/>
          <w:color w:val="000000"/>
          <w:sz w:val="24"/>
          <w:szCs w:val="24"/>
        </w:rPr>
      </w:pPr>
      <w:r>
        <w:rPr>
          <w:rFonts w:hint="eastAsia" w:ascii="宋体" w:hAnsi="宋体" w:eastAsia="宋体" w:cs="宋体"/>
          <w:b w:val="0"/>
          <w:bCs w:val="0"/>
          <w:color w:val="000000"/>
          <w:kern w:val="0"/>
          <w:sz w:val="24"/>
          <w:szCs w:val="24"/>
          <w:lang w:val="en-US" w:eastAsia="zh-CN" w:bidi="ar"/>
        </w:rPr>
        <w:t>表格</w:t>
      </w:r>
    </w:p>
    <w:tbl>
      <w:tblPr>
        <w:tblStyle w:val="11"/>
        <w:tblW w:w="0" w:type="auto"/>
        <w:tblCellSpacing w:w="15" w:type="dxa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shd w:val="clear" w:color="auto" w:fill="auto"/>
        <w:tblLayout w:type="autofit"/>
        <w:tblCellMar>
          <w:top w:w="0" w:type="dxa"/>
          <w:left w:w="0" w:type="dxa"/>
          <w:bottom w:w="0" w:type="dxa"/>
          <w:right w:w="0" w:type="dxa"/>
        </w:tblCellMar>
      </w:tblPr>
      <w:tblGrid>
        <w:gridCol w:w="1047"/>
        <w:gridCol w:w="510"/>
        <w:gridCol w:w="397"/>
        <w:gridCol w:w="707"/>
        <w:gridCol w:w="714"/>
        <w:gridCol w:w="651"/>
        <w:gridCol w:w="587"/>
        <w:gridCol w:w="1258"/>
        <w:gridCol w:w="1258"/>
        <w:gridCol w:w="1237"/>
      </w:tblGrid>
      <w:tr w14:paraId="766980A6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blHeader/>
          <w:tblCellSpacing w:w="15" w:type="dxa"/>
        </w:trPr>
        <w:tc>
          <w:tcPr>
            <w:tcW w:w="0" w:type="auto"/>
            <w:shd w:val="clear" w:color="auto" w:fill="auto"/>
            <w:vAlign w:val="center"/>
          </w:tcPr>
          <w:p w14:paraId="194112B5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用水类别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5BBCDBE9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数量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7286FD03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单位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5256BBD4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用水定额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7C007DE8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单位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367A1E52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用水频率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552281C7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单位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3C0B4442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日用水量（m³）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1BAD15E3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年用水量（m³）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727DA739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备注</w:t>
            </w:r>
          </w:p>
        </w:tc>
      </w:tr>
      <w:tr w14:paraId="45CB84FC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blCellSpacing w:w="15" w:type="dxa"/>
        </w:trPr>
        <w:tc>
          <w:tcPr>
            <w:tcW w:w="0" w:type="auto"/>
            <w:shd w:val="clear" w:color="auto" w:fill="auto"/>
            <w:vAlign w:val="center"/>
          </w:tcPr>
          <w:p w14:paraId="6A7E444E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幼儿生活用水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2CC6E60C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360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722BE27D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人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4E2DC549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30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581A9F68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L / 人・d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5F89C5D2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1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22D9B498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次 / 天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5337E20E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10.8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6D921CE2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2700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65B3970B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/</w:t>
            </w:r>
          </w:p>
        </w:tc>
      </w:tr>
      <w:tr w14:paraId="669F1695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blCellSpacing w:w="15" w:type="dxa"/>
        </w:trPr>
        <w:tc>
          <w:tcPr>
            <w:tcW w:w="0" w:type="auto"/>
            <w:shd w:val="clear" w:color="auto" w:fill="auto"/>
            <w:vAlign w:val="center"/>
          </w:tcPr>
          <w:p w14:paraId="06D3302D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教职工办公用水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6C744C67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40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3BF7EFA0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人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03AA54E9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50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645996B4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L / 人・d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5F4D7DD2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1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75AE7B68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次 / 天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7659D862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2.0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5293A7B0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500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69DEA01E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/</w:t>
            </w:r>
          </w:p>
        </w:tc>
      </w:tr>
      <w:tr w14:paraId="5922BC2A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blCellSpacing w:w="15" w:type="dxa"/>
        </w:trPr>
        <w:tc>
          <w:tcPr>
            <w:tcW w:w="0" w:type="auto"/>
            <w:shd w:val="clear" w:color="auto" w:fill="auto"/>
            <w:vAlign w:val="center"/>
          </w:tcPr>
          <w:p w14:paraId="59E94959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厨房餐饮用水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61E22049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400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4025C105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人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2DD525D5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20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21F67BCE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L / 人・d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5F3A03FB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1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1CCF90C5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次 / 天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6A78285D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8.0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3E6D36E1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2000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44C6C469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/</w:t>
            </w:r>
          </w:p>
        </w:tc>
      </w:tr>
      <w:tr w14:paraId="7036D3C6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blCellSpacing w:w="15" w:type="dxa"/>
        </w:trPr>
        <w:tc>
          <w:tcPr>
            <w:tcW w:w="0" w:type="auto"/>
            <w:shd w:val="clear" w:color="auto" w:fill="auto"/>
            <w:vAlign w:val="center"/>
          </w:tcPr>
          <w:p w14:paraId="76F1347B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生活用水小计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2BBE3D14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-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7EB7A093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-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4E60ADCC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-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7A8424B8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-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308CBECD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-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5334EEB9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-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5929CD65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20.8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0A08952F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5200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094D4F29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/</w:t>
            </w:r>
          </w:p>
        </w:tc>
      </w:tr>
      <w:tr w14:paraId="54F1DC4B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blCellSpacing w:w="15" w:type="dxa"/>
        </w:trPr>
        <w:tc>
          <w:tcPr>
            <w:tcW w:w="0" w:type="auto"/>
            <w:shd w:val="clear" w:color="auto" w:fill="auto"/>
            <w:vAlign w:val="center"/>
          </w:tcPr>
          <w:p w14:paraId="29EEC7CD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绿化灌溉用水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2D18D86F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800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05B250E3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㎡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50E6AA94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2.0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062BD29E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L/㎡・次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642A1A1F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2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047CD594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次 / 周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2CF130F3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0.46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3EB3F228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115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7127274C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折合日用水量</w:t>
            </w:r>
          </w:p>
        </w:tc>
      </w:tr>
      <w:tr w14:paraId="56FD039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blCellSpacing w:w="15" w:type="dxa"/>
        </w:trPr>
        <w:tc>
          <w:tcPr>
            <w:tcW w:w="0" w:type="auto"/>
            <w:shd w:val="clear" w:color="auto" w:fill="auto"/>
            <w:vAlign w:val="center"/>
          </w:tcPr>
          <w:p w14:paraId="75901CCA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地面冲洗用水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0B5B86EA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1200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5BD28DA3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㎡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084714D3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1.5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600D539D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L/㎡・次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6DFB1227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1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30356C40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次 / 周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4DF4E57B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0.26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20F8179B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65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5C48B212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折合日用水量</w:t>
            </w:r>
          </w:p>
        </w:tc>
      </w:tr>
      <w:tr w14:paraId="38C27967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blCellSpacing w:w="15" w:type="dxa"/>
        </w:trPr>
        <w:tc>
          <w:tcPr>
            <w:tcW w:w="0" w:type="auto"/>
            <w:shd w:val="clear" w:color="auto" w:fill="auto"/>
            <w:vAlign w:val="center"/>
          </w:tcPr>
          <w:p w14:paraId="6F4E8790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车辆冲洗用水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69663431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5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7DDB9355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辆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377BB182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40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4E27A954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L / 辆・次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3408D140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1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62EFD643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次 / 天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16C81874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0.20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3D4CED41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50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3A409AF2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/</w:t>
            </w:r>
          </w:p>
        </w:tc>
      </w:tr>
      <w:tr w14:paraId="60315082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blCellSpacing w:w="15" w:type="dxa"/>
        </w:trPr>
        <w:tc>
          <w:tcPr>
            <w:tcW w:w="0" w:type="auto"/>
            <w:shd w:val="clear" w:color="auto" w:fill="auto"/>
            <w:vAlign w:val="center"/>
          </w:tcPr>
          <w:p w14:paraId="10387C28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杂用水小计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65DDF3FF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-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3C335D10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-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5D3372DD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-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1D7E8CDA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-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6DEA9477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-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787748A4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-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0EE9528B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0.92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38205C79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230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1A586585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/</w:t>
            </w:r>
          </w:p>
        </w:tc>
      </w:tr>
      <w:tr w14:paraId="2D0763F3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blCellSpacing w:w="15" w:type="dxa"/>
        </w:trPr>
        <w:tc>
          <w:tcPr>
            <w:tcW w:w="0" w:type="auto"/>
            <w:shd w:val="clear" w:color="auto" w:fill="auto"/>
            <w:vAlign w:val="center"/>
          </w:tcPr>
          <w:p w14:paraId="6DDDF495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总用水合计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6D810108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-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3548D446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-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6A83522C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-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0FD79510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-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76168820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-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180FFA71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-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6522F32C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21.72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4F21D97B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5430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055ACA08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生活用水 + 杂用水</w:t>
            </w:r>
          </w:p>
        </w:tc>
      </w:tr>
    </w:tbl>
    <w:p w14:paraId="1C689B8C">
      <w:pPr>
        <w:pStyle w:val="4"/>
        <w:rPr>
          <w:rFonts w:ascii="Times New Roman" w:hAnsi="Times New Roman" w:eastAsia="宋体"/>
        </w:rPr>
      </w:pPr>
      <w:r>
        <w:rPr>
          <w:rFonts w:hint="eastAsia" w:ascii="Times New Roman" w:hAnsi="Times New Roman" w:eastAsia="宋体"/>
        </w:rPr>
        <w:t>4节水策略</w:t>
      </w:r>
      <w:bookmarkEnd w:id="8"/>
    </w:p>
    <w:p w14:paraId="4258C761"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tLeast"/>
        <w:ind w:leftChars="0" w:right="0" w:rightChars="0" w:firstLine="480" w:firstLineChars="200"/>
        <w:jc w:val="left"/>
        <w:textAlignment w:val="auto"/>
        <w:rPr>
          <w:rFonts w:hint="eastAsia" w:ascii="宋体" w:hAnsi="宋体" w:eastAsia="宋体" w:cs="宋体"/>
          <w:b w:val="0"/>
          <w:bCs w:val="0"/>
          <w:color w:val="000000"/>
          <w:sz w:val="24"/>
          <w:szCs w:val="24"/>
        </w:rPr>
      </w:pPr>
      <w:bookmarkStart w:id="9" w:name="_Toc61956674"/>
      <w:r>
        <w:rPr>
          <w:rFonts w:hint="eastAsia" w:ascii="宋体" w:hAnsi="宋体" w:eastAsia="宋体" w:cs="宋体"/>
          <w:b w:val="0"/>
          <w:bCs w:val="0"/>
          <w:color w:val="000000"/>
          <w:kern w:val="0"/>
          <w:sz w:val="24"/>
          <w:szCs w:val="24"/>
          <w:lang w:val="en-US" w:eastAsia="zh-CN" w:bidi="ar"/>
        </w:rPr>
        <w:t>本项目结合幼儿园建筑特点及柳州市水资源状况，制定 **“源头节水 + 过程管控 + 循环利用”** 三位一体的节水策略，全面落实国家及地方节水要求，具体措施如下：</w:t>
      </w:r>
    </w:p>
    <w:p w14:paraId="4BF71093"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tLeast"/>
        <w:ind w:leftChars="0" w:right="0" w:rightChars="0" w:firstLine="480" w:firstLineChars="200"/>
        <w:jc w:val="left"/>
        <w:textAlignment w:val="auto"/>
        <w:rPr>
          <w:rFonts w:hint="eastAsia" w:ascii="宋体" w:hAnsi="宋体" w:eastAsia="宋体" w:cs="宋体"/>
          <w:b w:val="0"/>
          <w:bCs w:val="0"/>
          <w:color w:val="000000"/>
          <w:sz w:val="24"/>
          <w:szCs w:val="24"/>
        </w:rPr>
      </w:pPr>
      <w:r>
        <w:rPr>
          <w:rStyle w:val="14"/>
          <w:rFonts w:hint="eastAsia" w:ascii="宋体" w:hAnsi="宋体" w:eastAsia="宋体" w:cs="宋体"/>
          <w:b w:val="0"/>
          <w:bCs w:val="0"/>
          <w:color w:val="000000"/>
          <w:sz w:val="24"/>
          <w:szCs w:val="24"/>
        </w:rPr>
        <w:t>计量管控</w:t>
      </w:r>
      <w:r>
        <w:rPr>
          <w:rFonts w:hint="eastAsia" w:ascii="宋体" w:hAnsi="宋体" w:eastAsia="宋体" w:cs="宋体"/>
          <w:b w:val="0"/>
          <w:bCs w:val="0"/>
          <w:color w:val="000000"/>
          <w:sz w:val="24"/>
          <w:szCs w:val="24"/>
        </w:rPr>
        <w:t>：设置</w:t>
      </w:r>
      <w:r>
        <w:rPr>
          <w:rStyle w:val="14"/>
          <w:rFonts w:hint="eastAsia" w:ascii="宋体" w:hAnsi="宋体" w:eastAsia="宋体" w:cs="宋体"/>
          <w:b w:val="0"/>
          <w:bCs w:val="0"/>
          <w:color w:val="000000"/>
          <w:sz w:val="24"/>
          <w:szCs w:val="24"/>
        </w:rPr>
        <w:t>三级用水计量系统</w:t>
      </w:r>
      <w:r>
        <w:rPr>
          <w:rFonts w:hint="eastAsia" w:ascii="宋体" w:hAnsi="宋体" w:eastAsia="宋体" w:cs="宋体"/>
          <w:b w:val="0"/>
          <w:bCs w:val="0"/>
          <w:color w:val="000000"/>
          <w:sz w:val="24"/>
          <w:szCs w:val="24"/>
        </w:rPr>
        <w:t>，市政总进水管设一级总表，生活用水 / 杂用水设二级分表，各楼层、厨房、绿化区设三级计量表，全部采用远传水表，实现用水数据实时采集、统计分析，漏损率控制在 5% 以内；</w:t>
      </w:r>
    </w:p>
    <w:p w14:paraId="6DC4314D"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tLeast"/>
        <w:ind w:leftChars="0" w:right="0" w:rightChars="0" w:firstLine="480" w:firstLineChars="200"/>
        <w:jc w:val="left"/>
        <w:textAlignment w:val="auto"/>
        <w:rPr>
          <w:rFonts w:hint="eastAsia" w:ascii="宋体" w:hAnsi="宋体" w:eastAsia="宋体" w:cs="宋体"/>
          <w:b w:val="0"/>
          <w:bCs w:val="0"/>
          <w:color w:val="000000"/>
          <w:sz w:val="24"/>
          <w:szCs w:val="24"/>
        </w:rPr>
      </w:pPr>
      <w:r>
        <w:rPr>
          <w:rStyle w:val="14"/>
          <w:rFonts w:hint="eastAsia" w:ascii="宋体" w:hAnsi="宋体" w:eastAsia="宋体" w:cs="宋体"/>
          <w:b w:val="0"/>
          <w:bCs w:val="0"/>
          <w:color w:val="000000"/>
          <w:sz w:val="24"/>
          <w:szCs w:val="24"/>
        </w:rPr>
        <w:t>器具节水</w:t>
      </w:r>
      <w:r>
        <w:rPr>
          <w:rFonts w:hint="eastAsia" w:ascii="宋体" w:hAnsi="宋体" w:eastAsia="宋体" w:cs="宋体"/>
          <w:b w:val="0"/>
          <w:bCs w:val="0"/>
          <w:color w:val="000000"/>
          <w:sz w:val="24"/>
          <w:szCs w:val="24"/>
        </w:rPr>
        <w:t>：所有卫生洁具及用水配件均选用</w:t>
      </w:r>
      <w:r>
        <w:rPr>
          <w:rStyle w:val="14"/>
          <w:rFonts w:hint="eastAsia" w:ascii="宋体" w:hAnsi="宋体" w:eastAsia="宋体" w:cs="宋体"/>
          <w:b w:val="0"/>
          <w:bCs w:val="0"/>
          <w:color w:val="000000"/>
          <w:sz w:val="24"/>
          <w:szCs w:val="24"/>
        </w:rPr>
        <w:t>国家一级节水型产品</w:t>
      </w:r>
      <w:r>
        <w:rPr>
          <w:rFonts w:hint="eastAsia" w:ascii="宋体" w:hAnsi="宋体" w:eastAsia="宋体" w:cs="宋体"/>
          <w:b w:val="0"/>
          <w:bCs w:val="0"/>
          <w:color w:val="000000"/>
          <w:sz w:val="24"/>
          <w:szCs w:val="24"/>
        </w:rPr>
        <w:t>，符合《节水型生活用水器具》CJ/T164-2014 要求，如 4.8L 节水型坐便器、4.0L/min 节水型水龙头、6.0L/min 节水型淋浴器；</w:t>
      </w:r>
    </w:p>
    <w:p w14:paraId="5FD2F2A7"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tLeast"/>
        <w:ind w:leftChars="0" w:right="0" w:rightChars="0" w:firstLine="480" w:firstLineChars="200"/>
        <w:jc w:val="left"/>
        <w:textAlignment w:val="auto"/>
        <w:rPr>
          <w:rFonts w:hint="eastAsia" w:ascii="宋体" w:hAnsi="宋体" w:eastAsia="宋体" w:cs="宋体"/>
          <w:b w:val="0"/>
          <w:bCs w:val="0"/>
          <w:color w:val="000000"/>
          <w:sz w:val="24"/>
          <w:szCs w:val="24"/>
        </w:rPr>
      </w:pPr>
      <w:r>
        <w:rPr>
          <w:rStyle w:val="14"/>
          <w:rFonts w:hint="eastAsia" w:ascii="宋体" w:hAnsi="宋体" w:eastAsia="宋体" w:cs="宋体"/>
          <w:b w:val="0"/>
          <w:bCs w:val="0"/>
          <w:color w:val="000000"/>
          <w:sz w:val="24"/>
          <w:szCs w:val="24"/>
        </w:rPr>
        <w:t>水压管控</w:t>
      </w:r>
      <w:r>
        <w:rPr>
          <w:rFonts w:hint="eastAsia" w:ascii="宋体" w:hAnsi="宋体" w:eastAsia="宋体" w:cs="宋体"/>
          <w:b w:val="0"/>
          <w:bCs w:val="0"/>
          <w:color w:val="000000"/>
          <w:sz w:val="24"/>
          <w:szCs w:val="24"/>
        </w:rPr>
        <w:t>：优先利用市政给水管网压力直接供水，对配水支管水压＞0.2MPa 的区域，设置</w:t>
      </w:r>
      <w:r>
        <w:rPr>
          <w:rStyle w:val="14"/>
          <w:rFonts w:hint="eastAsia" w:ascii="宋体" w:hAnsi="宋体" w:eastAsia="宋体" w:cs="宋体"/>
          <w:b w:val="0"/>
          <w:bCs w:val="0"/>
          <w:color w:val="000000"/>
          <w:sz w:val="24"/>
          <w:szCs w:val="24"/>
        </w:rPr>
        <w:t>减压阀 / 减压孔板</w:t>
      </w:r>
      <w:r>
        <w:rPr>
          <w:rFonts w:hint="eastAsia" w:ascii="宋体" w:hAnsi="宋体" w:eastAsia="宋体" w:cs="宋体"/>
          <w:b w:val="0"/>
          <w:bCs w:val="0"/>
          <w:color w:val="000000"/>
          <w:sz w:val="24"/>
          <w:szCs w:val="24"/>
        </w:rPr>
        <w:t>，将出水压力控制在 0.15~0.2MPa，避免超压出流造成水资源浪费；</w:t>
      </w:r>
    </w:p>
    <w:p w14:paraId="48D3B9B1"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tLeast"/>
        <w:ind w:leftChars="0" w:right="0" w:rightChars="0" w:firstLine="480" w:firstLineChars="200"/>
        <w:jc w:val="left"/>
        <w:textAlignment w:val="auto"/>
        <w:rPr>
          <w:rFonts w:hint="eastAsia" w:ascii="宋体" w:hAnsi="宋体" w:eastAsia="宋体" w:cs="宋体"/>
          <w:b w:val="0"/>
          <w:bCs w:val="0"/>
          <w:color w:val="000000"/>
          <w:sz w:val="24"/>
          <w:szCs w:val="24"/>
        </w:rPr>
      </w:pPr>
      <w:r>
        <w:rPr>
          <w:rStyle w:val="14"/>
          <w:rFonts w:hint="eastAsia" w:ascii="宋体" w:hAnsi="宋体" w:eastAsia="宋体" w:cs="宋体"/>
          <w:b w:val="0"/>
          <w:bCs w:val="0"/>
          <w:color w:val="000000"/>
          <w:sz w:val="24"/>
          <w:szCs w:val="24"/>
        </w:rPr>
        <w:t>管网防漏</w:t>
      </w:r>
      <w:r>
        <w:rPr>
          <w:rFonts w:hint="eastAsia" w:ascii="宋体" w:hAnsi="宋体" w:eastAsia="宋体" w:cs="宋体"/>
          <w:b w:val="0"/>
          <w:bCs w:val="0"/>
          <w:color w:val="000000"/>
          <w:sz w:val="24"/>
          <w:szCs w:val="24"/>
        </w:rPr>
        <w:t>：给水管道选用密闭性能好的管材及配件，优先采用软密封闸阀 / 蝶阀，室外埋地管道做防腐、防渗处理，室内管道选用耐腐蚀、不易老化的管材，从源头减少管网漏损；</w:t>
      </w:r>
    </w:p>
    <w:p w14:paraId="3BD919AF"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tLeast"/>
        <w:ind w:leftChars="0" w:right="0" w:rightChars="0" w:firstLine="480" w:firstLineChars="200"/>
        <w:jc w:val="left"/>
        <w:textAlignment w:val="auto"/>
        <w:rPr>
          <w:rFonts w:hint="eastAsia" w:ascii="宋体" w:hAnsi="宋体" w:eastAsia="宋体" w:cs="宋体"/>
          <w:b w:val="0"/>
          <w:bCs w:val="0"/>
          <w:color w:val="000000"/>
          <w:sz w:val="24"/>
          <w:szCs w:val="24"/>
        </w:rPr>
      </w:pPr>
      <w:r>
        <w:rPr>
          <w:rStyle w:val="14"/>
          <w:rFonts w:hint="eastAsia" w:ascii="宋体" w:hAnsi="宋体" w:eastAsia="宋体" w:cs="宋体"/>
          <w:b w:val="0"/>
          <w:bCs w:val="0"/>
          <w:color w:val="000000"/>
          <w:sz w:val="24"/>
          <w:szCs w:val="24"/>
        </w:rPr>
        <w:t>一水多用</w:t>
      </w:r>
      <w:r>
        <w:rPr>
          <w:rFonts w:hint="eastAsia" w:ascii="宋体" w:hAnsi="宋体" w:eastAsia="宋体" w:cs="宋体"/>
          <w:b w:val="0"/>
          <w:bCs w:val="0"/>
          <w:color w:val="000000"/>
          <w:sz w:val="24"/>
          <w:szCs w:val="24"/>
        </w:rPr>
        <w:t>：厨房清洗废水经简易处理后用于园区绿化灌溉，洗手池废水经收集后用于地面冲洗，提高水资源重复利用率；</w:t>
      </w:r>
    </w:p>
    <w:p w14:paraId="572CFAA9"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tLeast"/>
        <w:ind w:leftChars="0" w:right="0" w:rightChars="0" w:firstLine="480" w:firstLineChars="200"/>
        <w:jc w:val="left"/>
        <w:textAlignment w:val="auto"/>
        <w:rPr>
          <w:rFonts w:hint="eastAsia" w:ascii="宋体" w:hAnsi="宋体" w:eastAsia="宋体" w:cs="宋体"/>
          <w:b w:val="0"/>
          <w:bCs w:val="0"/>
          <w:color w:val="000000"/>
          <w:sz w:val="24"/>
          <w:szCs w:val="24"/>
        </w:rPr>
      </w:pPr>
      <w:r>
        <w:rPr>
          <w:rStyle w:val="14"/>
          <w:rFonts w:hint="eastAsia" w:ascii="宋体" w:hAnsi="宋体" w:eastAsia="宋体" w:cs="宋体"/>
          <w:b w:val="0"/>
          <w:bCs w:val="0"/>
          <w:color w:val="000000"/>
          <w:sz w:val="24"/>
          <w:szCs w:val="24"/>
        </w:rPr>
        <w:t>非传统水源利用</w:t>
      </w:r>
      <w:r>
        <w:rPr>
          <w:rFonts w:hint="eastAsia" w:ascii="宋体" w:hAnsi="宋体" w:eastAsia="宋体" w:cs="宋体"/>
          <w:b w:val="0"/>
          <w:bCs w:val="0"/>
          <w:color w:val="000000"/>
          <w:sz w:val="24"/>
          <w:szCs w:val="24"/>
        </w:rPr>
        <w:t>：收集屋面及硬化地面雨水，经处理后作为杂用水补充水源，替代部分市政自来水，非传统水源利用率不低于 15%；</w:t>
      </w:r>
    </w:p>
    <w:p w14:paraId="380FC6C4"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tLeast"/>
        <w:ind w:leftChars="0" w:right="0" w:rightChars="0" w:firstLine="480" w:firstLineChars="200"/>
        <w:jc w:val="left"/>
        <w:textAlignment w:val="auto"/>
        <w:rPr>
          <w:rFonts w:hint="eastAsia" w:ascii="宋体" w:hAnsi="宋体" w:eastAsia="宋体" w:cs="宋体"/>
          <w:b w:val="0"/>
          <w:bCs w:val="0"/>
          <w:color w:val="000000"/>
          <w:sz w:val="24"/>
          <w:szCs w:val="24"/>
        </w:rPr>
      </w:pPr>
      <w:r>
        <w:rPr>
          <w:rStyle w:val="14"/>
          <w:rFonts w:hint="eastAsia" w:ascii="宋体" w:hAnsi="宋体" w:eastAsia="宋体" w:cs="宋体"/>
          <w:b w:val="0"/>
          <w:bCs w:val="0"/>
          <w:color w:val="000000"/>
          <w:sz w:val="24"/>
          <w:szCs w:val="24"/>
        </w:rPr>
        <w:t>管理节水</w:t>
      </w:r>
      <w:r>
        <w:rPr>
          <w:rFonts w:hint="eastAsia" w:ascii="宋体" w:hAnsi="宋体" w:eastAsia="宋体" w:cs="宋体"/>
          <w:b w:val="0"/>
          <w:bCs w:val="0"/>
          <w:color w:val="000000"/>
          <w:sz w:val="24"/>
          <w:szCs w:val="24"/>
        </w:rPr>
        <w:t>：建立园区水资源管理制度，安排专人负责用水设备巡检、维护，及时维修漏水器具，定期开展节水宣传，培养师生节水意识。</w:t>
      </w:r>
    </w:p>
    <w:p w14:paraId="4DEAD7A0">
      <w:pPr>
        <w:pStyle w:val="3"/>
        <w:rPr>
          <w:rFonts w:ascii="Times New Roman" w:hAnsi="Times New Roman" w:eastAsia="宋体"/>
        </w:rPr>
      </w:pPr>
      <w:r>
        <w:rPr>
          <w:rFonts w:hint="eastAsia" w:ascii="Times New Roman" w:hAnsi="Times New Roman" w:eastAsia="宋体"/>
        </w:rPr>
        <w:t>五、给排水系统设计方案</w:t>
      </w:r>
      <w:bookmarkEnd w:id="9"/>
    </w:p>
    <w:p w14:paraId="6B672F6E">
      <w:pPr>
        <w:pStyle w:val="4"/>
        <w:rPr>
          <w:rFonts w:ascii="Times New Roman" w:hAnsi="Times New Roman" w:eastAsia="宋体"/>
        </w:rPr>
      </w:pPr>
      <w:bookmarkStart w:id="10" w:name="_Toc61956675"/>
      <w:r>
        <w:rPr>
          <w:rFonts w:hint="eastAsia" w:ascii="Times New Roman" w:hAnsi="Times New Roman" w:eastAsia="宋体"/>
        </w:rPr>
        <w:t>5.1生活给水系统</w:t>
      </w:r>
      <w:bookmarkEnd w:id="10"/>
    </w:p>
    <w:p w14:paraId="54544A30"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tLeast"/>
        <w:ind w:leftChars="0" w:right="0" w:rightChars="0" w:firstLine="480" w:firstLineChars="200"/>
        <w:jc w:val="left"/>
        <w:textAlignment w:val="auto"/>
        <w:rPr>
          <w:rFonts w:hint="eastAsia" w:ascii="宋体" w:hAnsi="宋体" w:eastAsia="宋体" w:cs="宋体"/>
          <w:b w:val="0"/>
          <w:bCs w:val="0"/>
          <w:color w:val="000000"/>
          <w:sz w:val="24"/>
          <w:szCs w:val="24"/>
        </w:rPr>
      </w:pPr>
      <w:bookmarkStart w:id="11" w:name="_Toc61956676"/>
      <w:r>
        <w:rPr>
          <w:rStyle w:val="14"/>
          <w:rFonts w:hint="eastAsia" w:ascii="宋体" w:hAnsi="宋体" w:eastAsia="宋体" w:cs="宋体"/>
          <w:b w:val="0"/>
          <w:bCs w:val="0"/>
          <w:color w:val="000000"/>
          <w:sz w:val="24"/>
          <w:szCs w:val="24"/>
        </w:rPr>
        <w:t>水源</w:t>
      </w:r>
      <w:r>
        <w:rPr>
          <w:rFonts w:hint="eastAsia" w:ascii="宋体" w:hAnsi="宋体" w:eastAsia="宋体" w:cs="宋体"/>
          <w:b w:val="0"/>
          <w:bCs w:val="0"/>
          <w:color w:val="000000"/>
          <w:sz w:val="24"/>
          <w:szCs w:val="24"/>
        </w:rPr>
        <w:t>：由市政给水管网双路接入，供水压力为 0.30MPa，满足项目底层及二层用水压力要求，为主要供水水源；</w:t>
      </w:r>
    </w:p>
    <w:p w14:paraId="0E415735"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tLeast"/>
        <w:ind w:leftChars="0" w:right="0" w:rightChars="0" w:firstLine="480" w:firstLineChars="200"/>
        <w:jc w:val="left"/>
        <w:textAlignment w:val="auto"/>
        <w:rPr>
          <w:rFonts w:hint="eastAsia" w:ascii="宋体" w:hAnsi="宋体" w:eastAsia="宋体" w:cs="宋体"/>
          <w:b w:val="0"/>
          <w:bCs w:val="0"/>
          <w:color w:val="000000"/>
          <w:sz w:val="24"/>
          <w:szCs w:val="24"/>
        </w:rPr>
      </w:pPr>
      <w:r>
        <w:rPr>
          <w:rStyle w:val="14"/>
          <w:rFonts w:hint="eastAsia" w:ascii="宋体" w:hAnsi="宋体" w:eastAsia="宋体" w:cs="宋体"/>
          <w:b w:val="0"/>
          <w:bCs w:val="0"/>
          <w:color w:val="000000"/>
          <w:sz w:val="24"/>
          <w:szCs w:val="24"/>
        </w:rPr>
        <w:t>供水分区</w:t>
      </w:r>
      <w:r>
        <w:rPr>
          <w:rFonts w:hint="eastAsia" w:ascii="宋体" w:hAnsi="宋体" w:eastAsia="宋体" w:cs="宋体"/>
          <w:b w:val="0"/>
          <w:bCs w:val="0"/>
          <w:color w:val="000000"/>
          <w:sz w:val="24"/>
          <w:szCs w:val="24"/>
        </w:rPr>
        <w:t>：根据建筑层数及水压要求，分为 2 个供水区：</w:t>
      </w:r>
      <w:r>
        <w:rPr>
          <w:rStyle w:val="14"/>
          <w:rFonts w:hint="eastAsia" w:ascii="宋体" w:hAnsi="宋体" w:eastAsia="宋体" w:cs="宋体"/>
          <w:b w:val="0"/>
          <w:bCs w:val="0"/>
          <w:color w:val="000000"/>
          <w:sz w:val="24"/>
          <w:szCs w:val="24"/>
        </w:rPr>
        <w:t>低区（1-2 层）</w:t>
      </w:r>
      <w:r>
        <w:rPr>
          <w:rFonts w:hint="eastAsia" w:ascii="宋体" w:hAnsi="宋体" w:eastAsia="宋体" w:cs="宋体"/>
          <w:b w:val="0"/>
          <w:bCs w:val="0"/>
          <w:color w:val="000000"/>
          <w:sz w:val="24"/>
          <w:szCs w:val="24"/>
        </w:rPr>
        <w:t xml:space="preserve"> 由市政管网直接供水，</w:t>
      </w:r>
      <w:r>
        <w:rPr>
          <w:rStyle w:val="14"/>
          <w:rFonts w:hint="eastAsia" w:ascii="宋体" w:hAnsi="宋体" w:eastAsia="宋体" w:cs="宋体"/>
          <w:b w:val="0"/>
          <w:bCs w:val="0"/>
          <w:color w:val="000000"/>
          <w:sz w:val="24"/>
          <w:szCs w:val="24"/>
        </w:rPr>
        <w:t>高区（3 层）</w:t>
      </w:r>
      <w:r>
        <w:rPr>
          <w:rFonts w:hint="eastAsia" w:ascii="宋体" w:hAnsi="宋体" w:eastAsia="宋体" w:cs="宋体"/>
          <w:b w:val="0"/>
          <w:bCs w:val="0"/>
          <w:color w:val="000000"/>
          <w:sz w:val="24"/>
          <w:szCs w:val="24"/>
        </w:rPr>
        <w:t xml:space="preserve"> 采用变频供水设备加压供水，供水压力控制在 0.15~0.20MPa；</w:t>
      </w:r>
    </w:p>
    <w:p w14:paraId="3F33D751"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tLeast"/>
        <w:ind w:leftChars="0" w:right="0" w:rightChars="0" w:firstLine="480" w:firstLineChars="200"/>
        <w:jc w:val="left"/>
        <w:textAlignment w:val="auto"/>
        <w:rPr>
          <w:rFonts w:hint="eastAsia" w:ascii="宋体" w:hAnsi="宋体" w:eastAsia="宋体" w:cs="宋体"/>
          <w:b w:val="0"/>
          <w:bCs w:val="0"/>
          <w:color w:val="000000"/>
          <w:sz w:val="24"/>
          <w:szCs w:val="24"/>
        </w:rPr>
      </w:pPr>
      <w:r>
        <w:rPr>
          <w:rStyle w:val="14"/>
          <w:rFonts w:hint="eastAsia" w:ascii="宋体" w:hAnsi="宋体" w:eastAsia="宋体" w:cs="宋体"/>
          <w:b w:val="0"/>
          <w:bCs w:val="0"/>
          <w:color w:val="000000"/>
          <w:sz w:val="24"/>
          <w:szCs w:val="24"/>
        </w:rPr>
        <w:t>减压措施</w:t>
      </w:r>
      <w:r>
        <w:rPr>
          <w:rFonts w:hint="eastAsia" w:ascii="宋体" w:hAnsi="宋体" w:eastAsia="宋体" w:cs="宋体"/>
          <w:b w:val="0"/>
          <w:bCs w:val="0"/>
          <w:color w:val="000000"/>
          <w:sz w:val="24"/>
          <w:szCs w:val="24"/>
        </w:rPr>
        <w:t>：高区供水支管及各用水点前设置</w:t>
      </w:r>
      <w:r>
        <w:rPr>
          <w:rStyle w:val="14"/>
          <w:rFonts w:hint="eastAsia" w:ascii="宋体" w:hAnsi="宋体" w:eastAsia="宋体" w:cs="宋体"/>
          <w:b w:val="0"/>
          <w:bCs w:val="0"/>
          <w:color w:val="000000"/>
          <w:sz w:val="24"/>
          <w:szCs w:val="24"/>
        </w:rPr>
        <w:t>可调式减压阀</w:t>
      </w:r>
      <w:r>
        <w:rPr>
          <w:rFonts w:hint="eastAsia" w:ascii="宋体" w:hAnsi="宋体" w:eastAsia="宋体" w:cs="宋体"/>
          <w:b w:val="0"/>
          <w:bCs w:val="0"/>
          <w:color w:val="000000"/>
          <w:sz w:val="24"/>
          <w:szCs w:val="24"/>
        </w:rPr>
        <w:t>，阀后压力稳定在 0.15MPa，厨房、卫生间等集中用水区域设置减压孔板，避免超压出流；</w:t>
      </w:r>
    </w:p>
    <w:p w14:paraId="2F0A7948"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tLeast"/>
        <w:ind w:leftChars="0" w:right="0" w:rightChars="0" w:firstLine="480" w:firstLineChars="200"/>
        <w:jc w:val="left"/>
        <w:textAlignment w:val="auto"/>
        <w:rPr>
          <w:rFonts w:hint="eastAsia" w:ascii="宋体" w:hAnsi="宋体" w:eastAsia="宋体" w:cs="宋体"/>
          <w:b w:val="0"/>
          <w:bCs w:val="0"/>
          <w:color w:val="000000"/>
          <w:sz w:val="24"/>
          <w:szCs w:val="24"/>
        </w:rPr>
      </w:pPr>
      <w:r>
        <w:rPr>
          <w:rStyle w:val="14"/>
          <w:rFonts w:hint="eastAsia" w:ascii="宋体" w:hAnsi="宋体" w:eastAsia="宋体" w:cs="宋体"/>
          <w:b w:val="0"/>
          <w:bCs w:val="0"/>
          <w:color w:val="000000"/>
          <w:sz w:val="24"/>
          <w:szCs w:val="24"/>
        </w:rPr>
        <w:t>管网布置</w:t>
      </w:r>
      <w:r>
        <w:rPr>
          <w:rFonts w:hint="eastAsia" w:ascii="宋体" w:hAnsi="宋体" w:eastAsia="宋体" w:cs="宋体"/>
          <w:b w:val="0"/>
          <w:bCs w:val="0"/>
          <w:color w:val="000000"/>
          <w:sz w:val="24"/>
          <w:szCs w:val="24"/>
        </w:rPr>
        <w:t>：生活给水管采用环状 + 枝状结合的布置方式，保证供水可靠性，直饮水系统独立设置，与生活给水管网物理隔离。</w:t>
      </w:r>
    </w:p>
    <w:p w14:paraId="055F46D6">
      <w:pPr>
        <w:pStyle w:val="4"/>
        <w:rPr>
          <w:rFonts w:ascii="Times New Roman" w:hAnsi="Times New Roman" w:eastAsia="宋体"/>
        </w:rPr>
      </w:pPr>
      <w:r>
        <w:rPr>
          <w:rFonts w:hint="eastAsia" w:ascii="Times New Roman" w:hAnsi="Times New Roman" w:eastAsia="宋体"/>
        </w:rPr>
        <w:t>5.2生活排水系统</w:t>
      </w:r>
      <w:bookmarkEnd w:id="11"/>
    </w:p>
    <w:p w14:paraId="3FC2325F"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tLeast"/>
        <w:ind w:leftChars="0" w:right="0" w:rightChars="0" w:firstLine="480" w:firstLineChars="200"/>
        <w:jc w:val="left"/>
        <w:textAlignment w:val="auto"/>
        <w:rPr>
          <w:rFonts w:hint="eastAsia" w:ascii="宋体" w:hAnsi="宋体" w:eastAsia="宋体" w:cs="宋体"/>
          <w:b w:val="0"/>
          <w:bCs w:val="0"/>
          <w:color w:val="000000"/>
          <w:sz w:val="24"/>
          <w:szCs w:val="24"/>
        </w:rPr>
      </w:pPr>
      <w:bookmarkStart w:id="12" w:name="_Toc61956677"/>
      <w:r>
        <w:rPr>
          <w:rFonts w:hint="eastAsia" w:ascii="宋体" w:hAnsi="宋体" w:eastAsia="宋体" w:cs="宋体"/>
          <w:b w:val="0"/>
          <w:bCs w:val="0"/>
          <w:color w:val="000000"/>
          <w:sz w:val="24"/>
          <w:szCs w:val="24"/>
        </w:rPr>
        <w:t>采用</w:t>
      </w:r>
      <w:r>
        <w:rPr>
          <w:rStyle w:val="14"/>
          <w:rFonts w:hint="eastAsia" w:ascii="宋体" w:hAnsi="宋体" w:eastAsia="宋体" w:cs="宋体"/>
          <w:b w:val="0"/>
          <w:bCs w:val="0"/>
          <w:color w:val="000000"/>
          <w:sz w:val="24"/>
          <w:szCs w:val="24"/>
        </w:rPr>
        <w:t>雨污分流、污废合流</w:t>
      </w:r>
      <w:r>
        <w:rPr>
          <w:rFonts w:hint="eastAsia" w:ascii="宋体" w:hAnsi="宋体" w:eastAsia="宋体" w:cs="宋体"/>
          <w:b w:val="0"/>
          <w:bCs w:val="0"/>
          <w:color w:val="000000"/>
          <w:sz w:val="24"/>
          <w:szCs w:val="24"/>
        </w:rPr>
        <w:t>的排水方式，生活污水（如厕、厨房）与废水（盥洗、地面冲洗）合流后排入园区化粪池，经初步处理后接入市政污水管网；</w:t>
      </w:r>
    </w:p>
    <w:p w14:paraId="184F9D45"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tLeast"/>
        <w:ind w:leftChars="0" w:right="0" w:rightChars="0" w:firstLine="480" w:firstLineChars="200"/>
        <w:jc w:val="left"/>
        <w:textAlignment w:val="auto"/>
        <w:rPr>
          <w:rFonts w:hint="eastAsia" w:ascii="宋体" w:hAnsi="宋体" w:eastAsia="宋体" w:cs="宋体"/>
          <w:b w:val="0"/>
          <w:bCs w:val="0"/>
          <w:color w:val="000000"/>
          <w:sz w:val="24"/>
          <w:szCs w:val="24"/>
        </w:rPr>
      </w:pPr>
      <w:r>
        <w:rPr>
          <w:rFonts w:hint="eastAsia" w:ascii="宋体" w:hAnsi="宋体" w:eastAsia="宋体" w:cs="宋体"/>
          <w:b w:val="0"/>
          <w:bCs w:val="0"/>
          <w:color w:val="000000"/>
          <w:sz w:val="24"/>
          <w:szCs w:val="24"/>
        </w:rPr>
        <w:t>卫生间设置专用通气管，保证排水立管内气压稳定，防止水封破坏；厨房排水设置隔油池，去除油污后再排入化粪池，避免堵塞市政管网；</w:t>
      </w:r>
    </w:p>
    <w:p w14:paraId="0FB67F77"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tLeast"/>
        <w:ind w:leftChars="0" w:right="0" w:rightChars="0" w:firstLine="480" w:firstLineChars="200"/>
        <w:jc w:val="left"/>
        <w:textAlignment w:val="auto"/>
        <w:rPr>
          <w:rFonts w:hint="eastAsia" w:ascii="宋体" w:hAnsi="宋体" w:eastAsia="宋体" w:cs="宋体"/>
          <w:b w:val="0"/>
          <w:bCs w:val="0"/>
          <w:color w:val="000000"/>
          <w:sz w:val="24"/>
          <w:szCs w:val="24"/>
        </w:rPr>
      </w:pPr>
      <w:r>
        <w:rPr>
          <w:rFonts w:hint="eastAsia" w:ascii="宋体" w:hAnsi="宋体" w:eastAsia="宋体" w:cs="宋体"/>
          <w:b w:val="0"/>
          <w:bCs w:val="0"/>
          <w:color w:val="000000"/>
          <w:sz w:val="24"/>
          <w:szCs w:val="24"/>
        </w:rPr>
        <w:t>排水管道坡度符合规范要求，室内排水采用 UPVC 管，室外排水采用 HDPE 双壁波纹管，耐腐蚀、排水通畅。</w:t>
      </w:r>
    </w:p>
    <w:p w14:paraId="7E5E249D">
      <w:pPr>
        <w:pStyle w:val="4"/>
        <w:rPr>
          <w:rFonts w:ascii="Times New Roman" w:hAnsi="Times New Roman" w:eastAsia="宋体"/>
        </w:rPr>
      </w:pPr>
      <w:r>
        <w:rPr>
          <w:rFonts w:hint="eastAsia" w:ascii="Times New Roman" w:hAnsi="Times New Roman" w:eastAsia="宋体"/>
        </w:rPr>
        <w:t>5</w:t>
      </w:r>
      <w:r>
        <w:rPr>
          <w:rFonts w:ascii="Times New Roman" w:hAnsi="Times New Roman" w:eastAsia="宋体"/>
        </w:rPr>
        <w:t>.3</w:t>
      </w:r>
      <w:r>
        <w:rPr>
          <w:rFonts w:hint="eastAsia" w:ascii="Times New Roman" w:hAnsi="Times New Roman" w:eastAsia="宋体"/>
        </w:rPr>
        <w:t>雨水排水系统</w:t>
      </w:r>
      <w:bookmarkEnd w:id="12"/>
    </w:p>
    <w:p w14:paraId="5E47ECEE"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tLeast"/>
        <w:ind w:leftChars="0" w:right="0" w:rightChars="0" w:firstLine="480" w:firstLineChars="200"/>
        <w:jc w:val="left"/>
        <w:textAlignment w:val="auto"/>
        <w:rPr>
          <w:rFonts w:hint="eastAsia" w:ascii="宋体" w:hAnsi="宋体" w:eastAsia="宋体" w:cs="宋体"/>
          <w:b w:val="0"/>
          <w:bCs w:val="0"/>
          <w:color w:val="000000"/>
          <w:sz w:val="24"/>
          <w:szCs w:val="24"/>
        </w:rPr>
      </w:pPr>
      <w:bookmarkStart w:id="13" w:name="_Toc61956678"/>
      <w:r>
        <w:rPr>
          <w:rFonts w:hint="eastAsia" w:ascii="宋体" w:hAnsi="宋体" w:eastAsia="宋体" w:cs="宋体"/>
          <w:b w:val="0"/>
          <w:bCs w:val="0"/>
          <w:color w:val="000000"/>
          <w:sz w:val="24"/>
          <w:szCs w:val="24"/>
        </w:rPr>
        <w:t>采用</w:t>
      </w:r>
      <w:r>
        <w:rPr>
          <w:rStyle w:val="14"/>
          <w:rFonts w:hint="eastAsia" w:ascii="宋体" w:hAnsi="宋体" w:eastAsia="宋体" w:cs="宋体"/>
          <w:b w:val="0"/>
          <w:bCs w:val="0"/>
          <w:color w:val="000000"/>
          <w:sz w:val="24"/>
          <w:szCs w:val="24"/>
        </w:rPr>
        <w:t>屋面雨水与地面雨水分系统收集</w:t>
      </w:r>
      <w:r>
        <w:rPr>
          <w:rFonts w:hint="eastAsia" w:ascii="宋体" w:hAnsi="宋体" w:eastAsia="宋体" w:cs="宋体"/>
          <w:b w:val="0"/>
          <w:bCs w:val="0"/>
          <w:color w:val="000000"/>
          <w:sz w:val="24"/>
          <w:szCs w:val="24"/>
        </w:rPr>
        <w:t>：屋面雨水经雨水斗收集后，通过雨水立管排入室外雨水管网；地面雨水经雨水口收集，经格栅过滤后汇入室外雨水管网；</w:t>
      </w:r>
    </w:p>
    <w:p w14:paraId="5AD0DE85"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tLeast"/>
        <w:ind w:leftChars="0" w:right="0" w:rightChars="0" w:firstLine="480" w:firstLineChars="200"/>
        <w:jc w:val="left"/>
        <w:textAlignment w:val="auto"/>
        <w:rPr>
          <w:rFonts w:hint="eastAsia" w:ascii="宋体" w:hAnsi="宋体" w:eastAsia="宋体" w:cs="宋体"/>
          <w:b w:val="0"/>
          <w:bCs w:val="0"/>
          <w:color w:val="000000"/>
          <w:sz w:val="24"/>
          <w:szCs w:val="24"/>
        </w:rPr>
      </w:pPr>
      <w:r>
        <w:rPr>
          <w:rFonts w:hint="eastAsia" w:ascii="宋体" w:hAnsi="宋体" w:eastAsia="宋体" w:cs="宋体"/>
          <w:b w:val="0"/>
          <w:bCs w:val="0"/>
          <w:color w:val="000000"/>
          <w:sz w:val="24"/>
          <w:szCs w:val="24"/>
        </w:rPr>
        <w:t>预留</w:t>
      </w:r>
      <w:r>
        <w:rPr>
          <w:rStyle w:val="14"/>
          <w:rFonts w:hint="eastAsia" w:ascii="宋体" w:hAnsi="宋体" w:eastAsia="宋体" w:cs="宋体"/>
          <w:b w:val="0"/>
          <w:bCs w:val="0"/>
          <w:color w:val="000000"/>
          <w:sz w:val="24"/>
          <w:szCs w:val="24"/>
        </w:rPr>
        <w:t>雨水回收利用接口</w:t>
      </w:r>
      <w:r>
        <w:rPr>
          <w:rFonts w:hint="eastAsia" w:ascii="宋体" w:hAnsi="宋体" w:eastAsia="宋体" w:cs="宋体"/>
          <w:b w:val="0"/>
          <w:bCs w:val="0"/>
          <w:color w:val="000000"/>
          <w:sz w:val="24"/>
          <w:szCs w:val="24"/>
        </w:rPr>
        <w:t>，在室外雨水管网设置雨水收集池（有效容积 50m³），收集的雨水经格栅、沉淀、过滤、消毒处理后，作为杂用水水源用于绿化灌溉、地面冲洗；</w:t>
      </w:r>
    </w:p>
    <w:p w14:paraId="242036DF"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tLeast"/>
        <w:ind w:leftChars="0" w:right="0" w:rightChars="0" w:firstLine="480" w:firstLineChars="200"/>
        <w:jc w:val="left"/>
        <w:textAlignment w:val="auto"/>
        <w:rPr>
          <w:rFonts w:hint="eastAsia" w:ascii="宋体" w:hAnsi="宋体" w:eastAsia="宋体" w:cs="宋体"/>
          <w:b w:val="0"/>
          <w:bCs w:val="0"/>
          <w:color w:val="000000"/>
          <w:sz w:val="24"/>
          <w:szCs w:val="24"/>
        </w:rPr>
      </w:pPr>
      <w:r>
        <w:rPr>
          <w:rFonts w:hint="eastAsia" w:ascii="宋体" w:hAnsi="宋体" w:eastAsia="宋体" w:cs="宋体"/>
          <w:b w:val="0"/>
          <w:bCs w:val="0"/>
          <w:color w:val="000000"/>
          <w:sz w:val="24"/>
          <w:szCs w:val="24"/>
        </w:rPr>
        <w:t>雨水排放采用重力流排放方式，暴雨期多余雨水经室外雨水管网直接排入市政雨水管网，避免园区积水。</w:t>
      </w:r>
    </w:p>
    <w:p w14:paraId="221CE3EF">
      <w:pPr>
        <w:pStyle w:val="4"/>
        <w:rPr>
          <w:rFonts w:ascii="Times New Roman" w:hAnsi="Times New Roman" w:eastAsia="宋体"/>
        </w:rPr>
      </w:pPr>
      <w:r>
        <w:rPr>
          <w:rFonts w:hint="eastAsia" w:ascii="Times New Roman" w:hAnsi="Times New Roman" w:eastAsia="宋体"/>
        </w:rPr>
        <w:t>5.4管材与配件</w:t>
      </w:r>
      <w:bookmarkEnd w:id="13"/>
    </w:p>
    <w:tbl>
      <w:tblPr>
        <w:tblStyle w:val="11"/>
        <w:tblW w:w="0" w:type="auto"/>
        <w:tblCellSpacing w:w="15" w:type="dxa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shd w:val="clear" w:color="auto" w:fill="auto"/>
        <w:tblLayout w:type="autofit"/>
        <w:tblCellMar>
          <w:top w:w="0" w:type="dxa"/>
          <w:left w:w="0" w:type="dxa"/>
          <w:bottom w:w="0" w:type="dxa"/>
          <w:right w:w="0" w:type="dxa"/>
        </w:tblCellMar>
      </w:tblPr>
      <w:tblGrid>
        <w:gridCol w:w="979"/>
        <w:gridCol w:w="1050"/>
        <w:gridCol w:w="1897"/>
        <w:gridCol w:w="964"/>
        <w:gridCol w:w="1564"/>
        <w:gridCol w:w="1912"/>
      </w:tblGrid>
      <w:tr w14:paraId="3AD35C37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blHeader/>
          <w:tblCellSpacing w:w="15" w:type="dxa"/>
        </w:trPr>
        <w:tc>
          <w:tcPr>
            <w:tcW w:w="0" w:type="auto"/>
            <w:shd w:val="clear" w:color="auto" w:fill="auto"/>
            <w:vAlign w:val="center"/>
          </w:tcPr>
          <w:p w14:paraId="43ED6433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bookmarkStart w:id="14" w:name="_Toc61956679"/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管道名称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0D18EFD0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安装部位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42A2C867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管材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4C14F4EE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连接方式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3A204BCB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工作压力（MPa）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5B89DD2E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备注</w:t>
            </w:r>
          </w:p>
        </w:tc>
      </w:tr>
      <w:tr w14:paraId="0CE369EB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blCellSpacing w:w="15" w:type="dxa"/>
        </w:trPr>
        <w:tc>
          <w:tcPr>
            <w:tcW w:w="0" w:type="auto"/>
            <w:shd w:val="clear" w:color="auto" w:fill="auto"/>
            <w:vAlign w:val="center"/>
          </w:tcPr>
          <w:p w14:paraId="49DBBD0D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生活给水管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4C2D6F35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室内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64C7C08A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304 不锈钢管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30D92CED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卡压式连接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5F8EEC00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0.6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7E2CF891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食品级，卫生、耐腐蚀</w:t>
            </w:r>
          </w:p>
        </w:tc>
      </w:tr>
      <w:tr w14:paraId="3842ECD3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blCellSpacing w:w="15" w:type="dxa"/>
        </w:trPr>
        <w:tc>
          <w:tcPr>
            <w:tcW w:w="0" w:type="auto"/>
            <w:shd w:val="clear" w:color="auto" w:fill="auto"/>
            <w:vAlign w:val="center"/>
          </w:tcPr>
          <w:p w14:paraId="2E6BDE23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生活给水管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20908395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室外埋地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566C9EA6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钢丝网骨架塑料复合管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60E27F18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电熔连接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5C3EDBB8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0.6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2E659E3B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抗沉降、防渗漏</w:t>
            </w:r>
          </w:p>
        </w:tc>
      </w:tr>
      <w:tr w14:paraId="48DE5EDB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blCellSpacing w:w="15" w:type="dxa"/>
        </w:trPr>
        <w:tc>
          <w:tcPr>
            <w:tcW w:w="0" w:type="auto"/>
            <w:shd w:val="clear" w:color="auto" w:fill="auto"/>
            <w:vAlign w:val="center"/>
          </w:tcPr>
          <w:p w14:paraId="33BD26B0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直饮水管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328F521E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室内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53B7961E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食品级 PPR 管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166A0F49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热熔连接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50559DD5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0.6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5F859380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独立管网，无二次污染</w:t>
            </w:r>
          </w:p>
        </w:tc>
      </w:tr>
      <w:tr w14:paraId="7733DA33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blCellSpacing w:w="15" w:type="dxa"/>
        </w:trPr>
        <w:tc>
          <w:tcPr>
            <w:tcW w:w="0" w:type="auto"/>
            <w:shd w:val="clear" w:color="auto" w:fill="auto"/>
            <w:vAlign w:val="center"/>
          </w:tcPr>
          <w:p w14:paraId="27BF942A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生活排水管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3035D84C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室内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3AE09B7E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UPVC 排水管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2B5D92FF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粘接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2AAD461F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常压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65E91934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排水通畅、重量轻</w:t>
            </w:r>
          </w:p>
        </w:tc>
      </w:tr>
      <w:tr w14:paraId="1D462A1D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blCellSpacing w:w="15" w:type="dxa"/>
        </w:trPr>
        <w:tc>
          <w:tcPr>
            <w:tcW w:w="0" w:type="auto"/>
            <w:shd w:val="clear" w:color="auto" w:fill="auto"/>
            <w:vAlign w:val="center"/>
          </w:tcPr>
          <w:p w14:paraId="17D37ADA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生活排水管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10A053E7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室外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78832819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HDPE 双壁波纹管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0488D8D2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承插式连接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60457D11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常压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65B756BE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抗腐蚀、抗老化</w:t>
            </w:r>
          </w:p>
        </w:tc>
      </w:tr>
      <w:tr w14:paraId="0AD4D9AF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blCellSpacing w:w="15" w:type="dxa"/>
        </w:trPr>
        <w:tc>
          <w:tcPr>
            <w:tcW w:w="0" w:type="auto"/>
            <w:shd w:val="clear" w:color="auto" w:fill="auto"/>
            <w:vAlign w:val="center"/>
          </w:tcPr>
          <w:p w14:paraId="6418A995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雨水管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2861B572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屋面 / 室内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158582F4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UPVC 雨水管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449B0426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粘接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4280FB1B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常压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107162FF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/</w:t>
            </w:r>
          </w:p>
        </w:tc>
      </w:tr>
      <w:tr w14:paraId="054154F9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blCellSpacing w:w="15" w:type="dxa"/>
        </w:trPr>
        <w:tc>
          <w:tcPr>
            <w:tcW w:w="0" w:type="auto"/>
            <w:shd w:val="clear" w:color="auto" w:fill="auto"/>
            <w:vAlign w:val="center"/>
          </w:tcPr>
          <w:p w14:paraId="3CCDAD27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雨水管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4B2D19E6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室外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76ED5775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HDPE 双壁波纹管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2428F954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承插式连接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54DEEE47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常压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3063BB12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/</w:t>
            </w:r>
          </w:p>
        </w:tc>
      </w:tr>
      <w:tr w14:paraId="49785639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blCellSpacing w:w="15" w:type="dxa"/>
        </w:trPr>
        <w:tc>
          <w:tcPr>
            <w:tcW w:w="0" w:type="auto"/>
            <w:shd w:val="clear" w:color="auto" w:fill="auto"/>
            <w:vAlign w:val="center"/>
          </w:tcPr>
          <w:p w14:paraId="218848A3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杂用水管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3145AE9A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室内 / 室外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129DA960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PE 管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2B37A8CA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热熔连接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6715075A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0.6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255B8F7B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用于雨水回收利用系统</w:t>
            </w:r>
          </w:p>
        </w:tc>
      </w:tr>
    </w:tbl>
    <w:p w14:paraId="0A234D76">
      <w:pPr>
        <w:pStyle w:val="4"/>
        <w:rPr>
          <w:rFonts w:ascii="Times New Roman" w:hAnsi="Times New Roman" w:eastAsia="宋体"/>
        </w:rPr>
      </w:pPr>
      <w:r>
        <w:rPr>
          <w:rFonts w:hint="eastAsia" w:ascii="Times New Roman" w:hAnsi="Times New Roman" w:eastAsia="宋体"/>
        </w:rPr>
        <w:t>5.5阀门及附件</w:t>
      </w:r>
      <w:bookmarkEnd w:id="14"/>
    </w:p>
    <w:p w14:paraId="3BB32B98"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tLeast"/>
        <w:ind w:leftChars="0" w:right="0" w:rightChars="0" w:firstLine="480" w:firstLineChars="200"/>
        <w:jc w:val="left"/>
        <w:textAlignment w:val="auto"/>
        <w:rPr>
          <w:rFonts w:hint="eastAsia" w:ascii="宋体" w:hAnsi="宋体" w:eastAsia="宋体" w:cs="宋体"/>
          <w:b w:val="0"/>
          <w:bCs w:val="0"/>
          <w:color w:val="000000"/>
          <w:sz w:val="24"/>
          <w:szCs w:val="24"/>
        </w:rPr>
      </w:pPr>
      <w:r>
        <w:rPr>
          <w:rFonts w:hint="eastAsia" w:ascii="宋体" w:hAnsi="宋体" w:eastAsia="宋体" w:cs="宋体"/>
          <w:b w:val="0"/>
          <w:bCs w:val="0"/>
          <w:color w:val="000000"/>
          <w:sz w:val="24"/>
          <w:szCs w:val="24"/>
        </w:rPr>
        <w:t>给水系统阀门优先选用</w:t>
      </w:r>
      <w:r>
        <w:rPr>
          <w:rStyle w:val="14"/>
          <w:rFonts w:hint="eastAsia" w:ascii="宋体" w:hAnsi="宋体" w:eastAsia="宋体" w:cs="宋体"/>
          <w:b w:val="0"/>
          <w:bCs w:val="0"/>
          <w:color w:val="000000"/>
          <w:sz w:val="24"/>
          <w:szCs w:val="24"/>
        </w:rPr>
        <w:t>软密封闸阀、蝶阀</w:t>
      </w:r>
      <w:r>
        <w:rPr>
          <w:rFonts w:hint="eastAsia" w:ascii="宋体" w:hAnsi="宋体" w:eastAsia="宋体" w:cs="宋体"/>
          <w:b w:val="0"/>
          <w:bCs w:val="0"/>
          <w:color w:val="000000"/>
          <w:sz w:val="24"/>
          <w:szCs w:val="24"/>
        </w:rPr>
        <w:t>，密封性能好，不易漏水，市政总进水口设置闸阀 + 止回阀，防止水倒流；</w:t>
      </w:r>
    </w:p>
    <w:p w14:paraId="7003E693"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tLeast"/>
        <w:ind w:leftChars="0" w:right="0" w:rightChars="0" w:firstLine="480" w:firstLineChars="200"/>
        <w:jc w:val="left"/>
        <w:textAlignment w:val="auto"/>
        <w:rPr>
          <w:rFonts w:hint="eastAsia" w:ascii="宋体" w:hAnsi="宋体" w:eastAsia="宋体" w:cs="宋体"/>
          <w:b w:val="0"/>
          <w:bCs w:val="0"/>
          <w:color w:val="000000"/>
          <w:sz w:val="24"/>
          <w:szCs w:val="24"/>
        </w:rPr>
      </w:pPr>
      <w:r>
        <w:rPr>
          <w:rFonts w:hint="eastAsia" w:ascii="宋体" w:hAnsi="宋体" w:eastAsia="宋体" w:cs="宋体"/>
          <w:b w:val="0"/>
          <w:bCs w:val="0"/>
          <w:color w:val="000000"/>
          <w:sz w:val="24"/>
          <w:szCs w:val="24"/>
        </w:rPr>
        <w:t>各分区、各用水点前设置</w:t>
      </w:r>
      <w:r>
        <w:rPr>
          <w:rStyle w:val="14"/>
          <w:rFonts w:hint="eastAsia" w:ascii="宋体" w:hAnsi="宋体" w:eastAsia="宋体" w:cs="宋体"/>
          <w:b w:val="0"/>
          <w:bCs w:val="0"/>
          <w:color w:val="000000"/>
          <w:sz w:val="24"/>
          <w:szCs w:val="24"/>
        </w:rPr>
        <w:t>可调式减压阀</w:t>
      </w:r>
      <w:r>
        <w:rPr>
          <w:rFonts w:hint="eastAsia" w:ascii="宋体" w:hAnsi="宋体" w:eastAsia="宋体" w:cs="宋体"/>
          <w:b w:val="0"/>
          <w:bCs w:val="0"/>
          <w:color w:val="000000"/>
          <w:sz w:val="24"/>
          <w:szCs w:val="24"/>
        </w:rPr>
        <w:t>，压力调节范围 0.05~0.30MPa，配套压力表，实时监测水压；</w:t>
      </w:r>
    </w:p>
    <w:p w14:paraId="46A8B8A5"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tLeast"/>
        <w:ind w:leftChars="0" w:right="0" w:rightChars="0" w:firstLine="480" w:firstLineChars="200"/>
        <w:jc w:val="left"/>
        <w:textAlignment w:val="auto"/>
        <w:rPr>
          <w:rFonts w:hint="eastAsia" w:ascii="宋体" w:hAnsi="宋体" w:eastAsia="宋体" w:cs="宋体"/>
          <w:b w:val="0"/>
          <w:bCs w:val="0"/>
          <w:color w:val="000000"/>
          <w:sz w:val="24"/>
          <w:szCs w:val="24"/>
        </w:rPr>
      </w:pPr>
      <w:r>
        <w:rPr>
          <w:rFonts w:hint="eastAsia" w:ascii="宋体" w:hAnsi="宋体" w:eastAsia="宋体" w:cs="宋体"/>
          <w:b w:val="0"/>
          <w:bCs w:val="0"/>
          <w:color w:val="000000"/>
          <w:sz w:val="24"/>
          <w:szCs w:val="24"/>
        </w:rPr>
        <w:t>水箱、水池设置</w:t>
      </w:r>
      <w:r>
        <w:rPr>
          <w:rStyle w:val="14"/>
          <w:rFonts w:hint="eastAsia" w:ascii="宋体" w:hAnsi="宋体" w:eastAsia="宋体" w:cs="宋体"/>
          <w:b w:val="0"/>
          <w:bCs w:val="0"/>
          <w:color w:val="000000"/>
          <w:sz w:val="24"/>
          <w:szCs w:val="24"/>
        </w:rPr>
        <w:t>液位计、溢流管、通气管</w:t>
      </w:r>
      <w:r>
        <w:rPr>
          <w:rFonts w:hint="eastAsia" w:ascii="宋体" w:hAnsi="宋体" w:eastAsia="宋体" w:cs="宋体"/>
          <w:b w:val="0"/>
          <w:bCs w:val="0"/>
          <w:color w:val="000000"/>
          <w:sz w:val="24"/>
          <w:szCs w:val="24"/>
        </w:rPr>
        <w:t>，通气管加装活性炭过滤装置，溢流管设置防虫网，防止二次污染；</w:t>
      </w:r>
    </w:p>
    <w:p w14:paraId="65681942"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tLeast"/>
        <w:ind w:leftChars="0" w:right="0" w:rightChars="0" w:firstLine="480" w:firstLineChars="200"/>
        <w:jc w:val="left"/>
        <w:textAlignment w:val="auto"/>
        <w:rPr>
          <w:rFonts w:ascii="Times New Roman" w:hAnsi="Times New Roman" w:eastAsia="宋体"/>
          <w:sz w:val="24"/>
        </w:rPr>
      </w:pPr>
      <w:r>
        <w:rPr>
          <w:rFonts w:hint="eastAsia" w:ascii="宋体" w:hAnsi="宋体" w:eastAsia="宋体" w:cs="宋体"/>
          <w:b w:val="0"/>
          <w:bCs w:val="0"/>
          <w:color w:val="000000"/>
          <w:sz w:val="24"/>
          <w:szCs w:val="24"/>
        </w:rPr>
        <w:t>排水系统设置</w:t>
      </w:r>
      <w:r>
        <w:rPr>
          <w:rStyle w:val="14"/>
          <w:rFonts w:hint="eastAsia" w:ascii="宋体" w:hAnsi="宋体" w:eastAsia="宋体" w:cs="宋体"/>
          <w:b w:val="0"/>
          <w:bCs w:val="0"/>
          <w:color w:val="000000"/>
          <w:sz w:val="24"/>
          <w:szCs w:val="24"/>
        </w:rPr>
        <w:t>存水弯</w:t>
      </w:r>
      <w:r>
        <w:rPr>
          <w:rFonts w:hint="eastAsia" w:ascii="宋体" w:hAnsi="宋体" w:eastAsia="宋体" w:cs="宋体"/>
          <w:b w:val="0"/>
          <w:bCs w:val="0"/>
          <w:color w:val="000000"/>
          <w:sz w:val="24"/>
          <w:szCs w:val="24"/>
        </w:rPr>
        <w:t>，水封深度≥50mm，防止异味及有害气体倒灌；雨水系统设置</w:t>
      </w:r>
      <w:r>
        <w:rPr>
          <w:rStyle w:val="14"/>
          <w:rFonts w:hint="eastAsia" w:ascii="宋体" w:hAnsi="宋体" w:eastAsia="宋体" w:cs="宋体"/>
          <w:b w:val="0"/>
          <w:bCs w:val="0"/>
          <w:color w:val="000000"/>
          <w:sz w:val="24"/>
          <w:szCs w:val="24"/>
        </w:rPr>
        <w:t>雨水斗、雨水口</w:t>
      </w:r>
      <w:r>
        <w:rPr>
          <w:rFonts w:hint="eastAsia" w:ascii="宋体" w:hAnsi="宋体" w:eastAsia="宋体" w:cs="宋体"/>
          <w:b w:val="0"/>
          <w:bCs w:val="0"/>
          <w:color w:val="000000"/>
          <w:sz w:val="24"/>
          <w:szCs w:val="24"/>
        </w:rPr>
        <w:t>，配套格栅，过滤杂物。</w:t>
      </w:r>
    </w:p>
    <w:p w14:paraId="4F4C6D6B">
      <w:pPr>
        <w:pStyle w:val="4"/>
        <w:rPr>
          <w:rFonts w:ascii="Times New Roman" w:hAnsi="Times New Roman" w:eastAsia="宋体"/>
        </w:rPr>
      </w:pPr>
      <w:bookmarkStart w:id="15" w:name="_Toc61956680"/>
      <w:r>
        <w:rPr>
          <w:rFonts w:hint="eastAsia" w:ascii="Times New Roman" w:hAnsi="Times New Roman" w:eastAsia="宋体"/>
        </w:rPr>
        <w:t>5.6卫生洁具及附件</w:t>
      </w:r>
      <w:bookmarkEnd w:id="15"/>
    </w:p>
    <w:p w14:paraId="1EDF77CA"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tLeast"/>
        <w:ind w:leftChars="0" w:right="0" w:rightChars="0" w:firstLine="480" w:firstLineChars="200"/>
        <w:jc w:val="left"/>
        <w:textAlignment w:val="auto"/>
        <w:rPr>
          <w:rFonts w:hint="eastAsia" w:ascii="宋体" w:hAnsi="宋体" w:eastAsia="宋体" w:cs="宋体"/>
          <w:b w:val="0"/>
          <w:bCs w:val="0"/>
          <w:color w:val="000000"/>
          <w:sz w:val="24"/>
          <w:szCs w:val="24"/>
        </w:rPr>
      </w:pPr>
      <w:bookmarkStart w:id="16" w:name="_Toc61956681"/>
      <w:r>
        <w:rPr>
          <w:rFonts w:hint="eastAsia" w:ascii="宋体" w:hAnsi="宋体" w:eastAsia="宋体" w:cs="宋体"/>
          <w:b w:val="0"/>
          <w:bCs w:val="0"/>
          <w:color w:val="000000"/>
          <w:kern w:val="0"/>
          <w:sz w:val="24"/>
          <w:szCs w:val="24"/>
          <w:lang w:val="en-US" w:eastAsia="zh-CN" w:bidi="ar"/>
        </w:rPr>
        <w:t>本项目所有卫生洁具及用水配件均为</w:t>
      </w:r>
      <w:r>
        <w:rPr>
          <w:rStyle w:val="14"/>
          <w:rFonts w:hint="eastAsia" w:ascii="宋体" w:hAnsi="宋体" w:eastAsia="宋体" w:cs="宋体"/>
          <w:b w:val="0"/>
          <w:bCs w:val="0"/>
          <w:color w:val="000000"/>
          <w:kern w:val="0"/>
          <w:sz w:val="24"/>
          <w:szCs w:val="24"/>
          <w:lang w:val="en-US" w:eastAsia="zh-CN" w:bidi="ar"/>
        </w:rPr>
        <w:t>国家一级节水型产品</w:t>
      </w:r>
      <w:r>
        <w:rPr>
          <w:rFonts w:hint="eastAsia" w:ascii="宋体" w:hAnsi="宋体" w:eastAsia="宋体" w:cs="宋体"/>
          <w:b w:val="0"/>
          <w:bCs w:val="0"/>
          <w:color w:val="000000"/>
          <w:kern w:val="0"/>
          <w:sz w:val="24"/>
          <w:szCs w:val="24"/>
          <w:lang w:val="en-US" w:eastAsia="zh-CN" w:bidi="ar"/>
        </w:rPr>
        <w:t>，符合《节水型产品通用技术条件》GB/T 18870-2011 要求，适配幼儿园幼儿使用特点，具体选型如下：</w:t>
      </w:r>
    </w:p>
    <w:p w14:paraId="4171AABD"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tLeast"/>
        <w:ind w:leftChars="0" w:right="0" w:rightChars="0" w:firstLine="480" w:firstLineChars="200"/>
        <w:jc w:val="left"/>
        <w:textAlignment w:val="auto"/>
        <w:rPr>
          <w:rFonts w:hint="eastAsia" w:ascii="宋体" w:hAnsi="宋体" w:eastAsia="宋体" w:cs="宋体"/>
          <w:b w:val="0"/>
          <w:bCs w:val="0"/>
          <w:color w:val="000000"/>
          <w:sz w:val="24"/>
          <w:szCs w:val="24"/>
        </w:rPr>
      </w:pPr>
      <w:r>
        <w:rPr>
          <w:rFonts w:hint="eastAsia" w:ascii="宋体" w:hAnsi="宋体" w:eastAsia="宋体" w:cs="宋体"/>
          <w:b w:val="0"/>
          <w:bCs w:val="0"/>
          <w:color w:val="000000"/>
          <w:sz w:val="24"/>
          <w:szCs w:val="24"/>
        </w:rPr>
        <w:t>坐便器：选用</w:t>
      </w:r>
      <w:r>
        <w:rPr>
          <w:rStyle w:val="14"/>
          <w:rFonts w:hint="eastAsia" w:ascii="宋体" w:hAnsi="宋体" w:eastAsia="宋体" w:cs="宋体"/>
          <w:b w:val="0"/>
          <w:bCs w:val="0"/>
          <w:color w:val="000000"/>
          <w:sz w:val="24"/>
          <w:szCs w:val="24"/>
        </w:rPr>
        <w:t>4.8L 节水型连体坐便器</w:t>
      </w:r>
      <w:r>
        <w:rPr>
          <w:rFonts w:hint="eastAsia" w:ascii="宋体" w:hAnsi="宋体" w:eastAsia="宋体" w:cs="宋体"/>
          <w:b w:val="0"/>
          <w:bCs w:val="0"/>
          <w:color w:val="000000"/>
          <w:sz w:val="24"/>
          <w:szCs w:val="24"/>
        </w:rPr>
        <w:t>（小冲 3.0L，大冲 4.8L），喷射虹吸式，冲洗彻底，带儿童专用坐垫；</w:t>
      </w:r>
    </w:p>
    <w:p w14:paraId="6E6FC4B0"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tLeast"/>
        <w:ind w:leftChars="0" w:right="0" w:rightChars="0" w:firstLine="480" w:firstLineChars="200"/>
        <w:jc w:val="left"/>
        <w:textAlignment w:val="auto"/>
        <w:rPr>
          <w:rFonts w:hint="eastAsia" w:ascii="宋体" w:hAnsi="宋体" w:eastAsia="宋体" w:cs="宋体"/>
          <w:b w:val="0"/>
          <w:bCs w:val="0"/>
          <w:color w:val="000000"/>
          <w:sz w:val="24"/>
          <w:szCs w:val="24"/>
        </w:rPr>
      </w:pPr>
      <w:r>
        <w:rPr>
          <w:rFonts w:hint="eastAsia" w:ascii="宋体" w:hAnsi="宋体" w:eastAsia="宋体" w:cs="宋体"/>
          <w:b w:val="0"/>
          <w:bCs w:val="0"/>
          <w:color w:val="000000"/>
          <w:sz w:val="24"/>
          <w:szCs w:val="24"/>
        </w:rPr>
        <w:t>水龙头：选用</w:t>
      </w:r>
      <w:r>
        <w:rPr>
          <w:rStyle w:val="14"/>
          <w:rFonts w:hint="eastAsia" w:ascii="宋体" w:hAnsi="宋体" w:eastAsia="宋体" w:cs="宋体"/>
          <w:b w:val="0"/>
          <w:bCs w:val="0"/>
          <w:color w:val="000000"/>
          <w:sz w:val="24"/>
          <w:szCs w:val="24"/>
        </w:rPr>
        <w:t>4.0L/min 节水型起泡器水龙头</w:t>
      </w:r>
      <w:r>
        <w:rPr>
          <w:rFonts w:hint="eastAsia" w:ascii="宋体" w:hAnsi="宋体" w:eastAsia="宋体" w:cs="宋体"/>
          <w:b w:val="0"/>
          <w:bCs w:val="0"/>
          <w:color w:val="000000"/>
          <w:sz w:val="24"/>
          <w:szCs w:val="24"/>
        </w:rPr>
        <w:t>，陶瓷阀芯，防滴漏，幼儿洗手池采用感应式水龙头，避免长流水；</w:t>
      </w:r>
    </w:p>
    <w:p w14:paraId="1984B667"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tLeast"/>
        <w:ind w:leftChars="0" w:right="0" w:rightChars="0" w:firstLine="480" w:firstLineChars="200"/>
        <w:jc w:val="left"/>
        <w:textAlignment w:val="auto"/>
        <w:rPr>
          <w:rFonts w:hint="eastAsia" w:ascii="宋体" w:hAnsi="宋体" w:eastAsia="宋体" w:cs="宋体"/>
          <w:b w:val="0"/>
          <w:bCs w:val="0"/>
          <w:color w:val="000000"/>
          <w:sz w:val="24"/>
          <w:szCs w:val="24"/>
        </w:rPr>
      </w:pPr>
      <w:r>
        <w:rPr>
          <w:rFonts w:hint="eastAsia" w:ascii="宋体" w:hAnsi="宋体" w:eastAsia="宋体" w:cs="宋体"/>
          <w:b w:val="0"/>
          <w:bCs w:val="0"/>
          <w:color w:val="000000"/>
          <w:sz w:val="24"/>
          <w:szCs w:val="24"/>
        </w:rPr>
        <w:t>淋浴器：选用</w:t>
      </w:r>
      <w:r>
        <w:rPr>
          <w:rStyle w:val="14"/>
          <w:rFonts w:hint="eastAsia" w:ascii="宋体" w:hAnsi="宋体" w:eastAsia="宋体" w:cs="宋体"/>
          <w:b w:val="0"/>
          <w:bCs w:val="0"/>
          <w:color w:val="000000"/>
          <w:sz w:val="24"/>
          <w:szCs w:val="24"/>
        </w:rPr>
        <w:t>6.0L/min 恒温节水淋浴器</w:t>
      </w:r>
      <w:r>
        <w:rPr>
          <w:rFonts w:hint="eastAsia" w:ascii="宋体" w:hAnsi="宋体" w:eastAsia="宋体" w:cs="宋体"/>
          <w:b w:val="0"/>
          <w:bCs w:val="0"/>
          <w:color w:val="000000"/>
          <w:sz w:val="24"/>
          <w:szCs w:val="24"/>
        </w:rPr>
        <w:t>，38℃恒温锁定，带防烫装置，适配幼儿洗澡使用；</w:t>
      </w:r>
    </w:p>
    <w:p w14:paraId="703F8606"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tLeast"/>
        <w:ind w:leftChars="0" w:right="0" w:rightChars="0" w:firstLine="480" w:firstLineChars="200"/>
        <w:jc w:val="left"/>
        <w:textAlignment w:val="auto"/>
        <w:rPr>
          <w:rFonts w:hint="eastAsia" w:ascii="宋体" w:hAnsi="宋体" w:eastAsia="宋体" w:cs="宋体"/>
          <w:b w:val="0"/>
          <w:bCs w:val="0"/>
          <w:color w:val="000000"/>
          <w:sz w:val="24"/>
          <w:szCs w:val="24"/>
        </w:rPr>
      </w:pPr>
      <w:r>
        <w:rPr>
          <w:rFonts w:hint="eastAsia" w:ascii="宋体" w:hAnsi="宋体" w:eastAsia="宋体" w:cs="宋体"/>
          <w:b w:val="0"/>
          <w:bCs w:val="0"/>
          <w:color w:val="000000"/>
          <w:sz w:val="24"/>
          <w:szCs w:val="24"/>
        </w:rPr>
        <w:t>拖布池、洗涤盆：选用带节水嘴的陶瓷盆，配套脚踏式开关，方便使用且减少漏水；</w:t>
      </w:r>
    </w:p>
    <w:p w14:paraId="75244B2B"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tLeast"/>
        <w:ind w:leftChars="0" w:right="0" w:rightChars="0" w:firstLine="480" w:firstLineChars="200"/>
        <w:jc w:val="left"/>
        <w:textAlignment w:val="auto"/>
        <w:rPr>
          <w:rFonts w:hint="eastAsia" w:ascii="宋体" w:hAnsi="宋体" w:eastAsia="宋体" w:cs="宋体"/>
          <w:b w:val="0"/>
          <w:bCs w:val="0"/>
          <w:color w:val="000000"/>
          <w:sz w:val="24"/>
          <w:szCs w:val="24"/>
        </w:rPr>
      </w:pPr>
      <w:r>
        <w:rPr>
          <w:rFonts w:hint="eastAsia" w:ascii="宋体" w:hAnsi="宋体" w:eastAsia="宋体" w:cs="宋体"/>
          <w:b w:val="0"/>
          <w:bCs w:val="0"/>
          <w:color w:val="000000"/>
          <w:sz w:val="24"/>
          <w:szCs w:val="24"/>
        </w:rPr>
        <w:t>厨房用水器具：选用节水型洗菜盆、洗碗机，配套低流量水龙头，提高用水效率。</w:t>
      </w:r>
    </w:p>
    <w:p w14:paraId="390EB45F">
      <w:pPr>
        <w:pStyle w:val="3"/>
        <w:rPr>
          <w:rFonts w:ascii="Times New Roman" w:hAnsi="Times New Roman" w:eastAsia="宋体"/>
        </w:rPr>
      </w:pPr>
      <w:r>
        <w:rPr>
          <w:rFonts w:hint="eastAsia" w:ascii="Times New Roman" w:hAnsi="Times New Roman" w:eastAsia="宋体"/>
        </w:rPr>
        <w:t>六、非传统水源利用方案</w:t>
      </w:r>
      <w:bookmarkEnd w:id="16"/>
    </w:p>
    <w:p w14:paraId="759EE0D6"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tLeast"/>
        <w:ind w:leftChars="0" w:right="0" w:rightChars="0" w:firstLine="480" w:firstLineChars="200"/>
        <w:jc w:val="left"/>
        <w:textAlignment w:val="auto"/>
        <w:rPr>
          <w:rFonts w:hint="eastAsia" w:ascii="宋体" w:hAnsi="宋体" w:eastAsia="宋体" w:cs="宋体"/>
          <w:b w:val="0"/>
          <w:bCs w:val="0"/>
          <w:color w:val="000000"/>
          <w:sz w:val="24"/>
          <w:szCs w:val="24"/>
        </w:rPr>
      </w:pPr>
      <w:bookmarkStart w:id="17" w:name="_Toc61956682"/>
      <w:r>
        <w:rPr>
          <w:rFonts w:hint="eastAsia" w:ascii="宋体" w:hAnsi="宋体" w:eastAsia="宋体" w:cs="宋体"/>
          <w:b w:val="0"/>
          <w:bCs w:val="0"/>
          <w:color w:val="000000"/>
          <w:kern w:val="0"/>
          <w:sz w:val="24"/>
          <w:szCs w:val="24"/>
          <w:lang w:val="en-US" w:eastAsia="zh-CN" w:bidi="ar"/>
        </w:rPr>
        <w:t>本项目非传统水源主要为</w:t>
      </w:r>
      <w:r>
        <w:rPr>
          <w:rStyle w:val="14"/>
          <w:rFonts w:hint="eastAsia" w:ascii="宋体" w:hAnsi="宋体" w:eastAsia="宋体" w:cs="宋体"/>
          <w:b w:val="0"/>
          <w:bCs w:val="0"/>
          <w:color w:val="000000"/>
          <w:kern w:val="0"/>
          <w:sz w:val="24"/>
          <w:szCs w:val="24"/>
          <w:lang w:val="en-US" w:eastAsia="zh-CN" w:bidi="ar"/>
        </w:rPr>
        <w:t>雨水回收利用</w:t>
      </w:r>
      <w:r>
        <w:rPr>
          <w:rFonts w:hint="eastAsia" w:ascii="宋体" w:hAnsi="宋体" w:eastAsia="宋体" w:cs="宋体"/>
          <w:b w:val="0"/>
          <w:bCs w:val="0"/>
          <w:color w:val="000000"/>
          <w:kern w:val="0"/>
          <w:sz w:val="24"/>
          <w:szCs w:val="24"/>
          <w:lang w:val="en-US" w:eastAsia="zh-CN" w:bidi="ar"/>
        </w:rPr>
        <w:t>，充分利用柳州市雨季降雨量充沛的特点，将屋面及硬化地面收集的雨水经处理后作为杂用水水源，替代市政自来水，具体方案如下：</w:t>
      </w:r>
    </w:p>
    <w:p w14:paraId="322671D3"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tLeast"/>
        <w:ind w:leftChars="0" w:right="0" w:rightChars="0" w:firstLine="480" w:firstLineChars="200"/>
        <w:jc w:val="left"/>
        <w:textAlignment w:val="auto"/>
        <w:rPr>
          <w:rFonts w:hint="eastAsia" w:ascii="宋体" w:hAnsi="宋体" w:eastAsia="宋体" w:cs="宋体"/>
          <w:b w:val="0"/>
          <w:bCs w:val="0"/>
          <w:color w:val="000000"/>
          <w:sz w:val="24"/>
          <w:szCs w:val="24"/>
        </w:rPr>
      </w:pPr>
      <w:r>
        <w:rPr>
          <w:rStyle w:val="14"/>
          <w:rFonts w:hint="eastAsia" w:ascii="宋体" w:hAnsi="宋体" w:eastAsia="宋体" w:cs="宋体"/>
          <w:b w:val="0"/>
          <w:bCs w:val="0"/>
          <w:color w:val="000000"/>
          <w:sz w:val="24"/>
          <w:szCs w:val="24"/>
        </w:rPr>
        <w:t>雨水收集</w:t>
      </w:r>
      <w:r>
        <w:rPr>
          <w:rFonts w:hint="eastAsia" w:ascii="宋体" w:hAnsi="宋体" w:eastAsia="宋体" w:cs="宋体"/>
          <w:b w:val="0"/>
          <w:bCs w:val="0"/>
          <w:color w:val="000000"/>
          <w:sz w:val="24"/>
          <w:szCs w:val="24"/>
        </w:rPr>
        <w:t>：收集范围为幼儿园屋面（收集面积约 1000㎡）及园区硬化地面（收集面积约 800㎡），屋面经雨水斗收集，地面经雨水口收集，汇入室外雨水收集管网；</w:t>
      </w:r>
    </w:p>
    <w:p w14:paraId="4A468898"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tLeast"/>
        <w:ind w:leftChars="0" w:right="0" w:rightChars="0" w:firstLine="480" w:firstLineChars="200"/>
        <w:jc w:val="left"/>
        <w:textAlignment w:val="auto"/>
        <w:rPr>
          <w:rFonts w:hint="eastAsia" w:ascii="宋体" w:hAnsi="宋体" w:eastAsia="宋体" w:cs="宋体"/>
          <w:b w:val="0"/>
          <w:bCs w:val="0"/>
          <w:color w:val="000000"/>
          <w:sz w:val="24"/>
          <w:szCs w:val="24"/>
        </w:rPr>
      </w:pPr>
      <w:r>
        <w:rPr>
          <w:rStyle w:val="14"/>
          <w:rFonts w:hint="eastAsia" w:ascii="宋体" w:hAnsi="宋体" w:eastAsia="宋体" w:cs="宋体"/>
          <w:b w:val="0"/>
          <w:bCs w:val="0"/>
          <w:color w:val="000000"/>
          <w:sz w:val="24"/>
          <w:szCs w:val="24"/>
        </w:rPr>
        <w:t>雨水处理</w:t>
      </w:r>
      <w:r>
        <w:rPr>
          <w:rFonts w:hint="eastAsia" w:ascii="宋体" w:hAnsi="宋体" w:eastAsia="宋体" w:cs="宋体"/>
          <w:b w:val="0"/>
          <w:bCs w:val="0"/>
          <w:color w:val="000000"/>
          <w:sz w:val="24"/>
          <w:szCs w:val="24"/>
        </w:rPr>
        <w:t>：收集的雨水经</w:t>
      </w:r>
      <w:r>
        <w:rPr>
          <w:rStyle w:val="14"/>
          <w:rFonts w:hint="eastAsia" w:ascii="宋体" w:hAnsi="宋体" w:eastAsia="宋体" w:cs="宋体"/>
          <w:b w:val="0"/>
          <w:bCs w:val="0"/>
          <w:color w:val="000000"/>
          <w:sz w:val="24"/>
          <w:szCs w:val="24"/>
        </w:rPr>
        <w:t>格栅过滤→沉淀→石英砂过滤→紫外线消毒</w:t>
      </w:r>
      <w:r>
        <w:rPr>
          <w:rFonts w:hint="eastAsia" w:ascii="宋体" w:hAnsi="宋体" w:eastAsia="宋体" w:cs="宋体"/>
          <w:b w:val="0"/>
          <w:bCs w:val="0"/>
          <w:color w:val="000000"/>
          <w:sz w:val="24"/>
          <w:szCs w:val="24"/>
        </w:rPr>
        <w:t>四级处理工艺，去除水中的泥沙、杂物、细菌等污染物，处理后水质符合《城市污水再生利用 城市杂用水水质》GB/T 18920-2024 要求；</w:t>
      </w:r>
    </w:p>
    <w:p w14:paraId="11BFEC74"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tLeast"/>
        <w:ind w:leftChars="0" w:right="0" w:rightChars="0" w:firstLine="480" w:firstLineChars="200"/>
        <w:jc w:val="left"/>
        <w:textAlignment w:val="auto"/>
        <w:rPr>
          <w:rFonts w:hint="eastAsia" w:ascii="宋体" w:hAnsi="宋体" w:eastAsia="宋体" w:cs="宋体"/>
          <w:b w:val="0"/>
          <w:bCs w:val="0"/>
          <w:color w:val="000000"/>
          <w:sz w:val="24"/>
          <w:szCs w:val="24"/>
        </w:rPr>
      </w:pPr>
      <w:r>
        <w:rPr>
          <w:rStyle w:val="14"/>
          <w:rFonts w:hint="eastAsia" w:ascii="宋体" w:hAnsi="宋体" w:eastAsia="宋体" w:cs="宋体"/>
          <w:b w:val="0"/>
          <w:bCs w:val="0"/>
          <w:color w:val="000000"/>
          <w:sz w:val="24"/>
          <w:szCs w:val="24"/>
        </w:rPr>
        <w:t>雨水储存</w:t>
      </w:r>
      <w:r>
        <w:rPr>
          <w:rFonts w:hint="eastAsia" w:ascii="宋体" w:hAnsi="宋体" w:eastAsia="宋体" w:cs="宋体"/>
          <w:b w:val="0"/>
          <w:bCs w:val="0"/>
          <w:color w:val="000000"/>
          <w:sz w:val="24"/>
          <w:szCs w:val="24"/>
        </w:rPr>
        <w:t>：设置</w:t>
      </w:r>
      <w:r>
        <w:rPr>
          <w:rStyle w:val="14"/>
          <w:rFonts w:hint="eastAsia" w:ascii="宋体" w:hAnsi="宋体" w:eastAsia="宋体" w:cs="宋体"/>
          <w:b w:val="0"/>
          <w:bCs w:val="0"/>
          <w:color w:val="000000"/>
          <w:sz w:val="24"/>
          <w:szCs w:val="24"/>
        </w:rPr>
        <w:t>50m³ 埋地式雨水收集池</w:t>
      </w:r>
      <w:r>
        <w:rPr>
          <w:rFonts w:hint="eastAsia" w:ascii="宋体" w:hAnsi="宋体" w:eastAsia="宋体" w:cs="宋体"/>
          <w:b w:val="0"/>
          <w:bCs w:val="0"/>
          <w:color w:val="000000"/>
          <w:sz w:val="24"/>
          <w:szCs w:val="24"/>
        </w:rPr>
        <w:t>，配套液位控制系统，实时监测池内水位，缺水时自动补水，满水时自动溢流；</w:t>
      </w:r>
    </w:p>
    <w:p w14:paraId="78BA4106"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tLeast"/>
        <w:ind w:leftChars="0" w:right="0" w:rightChars="0" w:firstLine="480" w:firstLineChars="200"/>
        <w:jc w:val="left"/>
        <w:textAlignment w:val="auto"/>
        <w:rPr>
          <w:rFonts w:hint="eastAsia" w:ascii="宋体" w:hAnsi="宋体" w:eastAsia="宋体" w:cs="宋体"/>
          <w:b w:val="0"/>
          <w:bCs w:val="0"/>
          <w:color w:val="000000"/>
          <w:sz w:val="24"/>
          <w:szCs w:val="24"/>
        </w:rPr>
      </w:pPr>
      <w:r>
        <w:rPr>
          <w:rStyle w:val="14"/>
          <w:rFonts w:hint="eastAsia" w:ascii="宋体" w:hAnsi="宋体" w:eastAsia="宋体" w:cs="宋体"/>
          <w:b w:val="0"/>
          <w:bCs w:val="0"/>
          <w:color w:val="000000"/>
          <w:sz w:val="24"/>
          <w:szCs w:val="24"/>
        </w:rPr>
        <w:t>雨水利用</w:t>
      </w:r>
      <w:r>
        <w:rPr>
          <w:rFonts w:hint="eastAsia" w:ascii="宋体" w:hAnsi="宋体" w:eastAsia="宋体" w:cs="宋体"/>
          <w:b w:val="0"/>
          <w:bCs w:val="0"/>
          <w:color w:val="000000"/>
          <w:sz w:val="24"/>
          <w:szCs w:val="24"/>
        </w:rPr>
        <w:t>：处理后的雨水通过杂用水管网，用于园区</w:t>
      </w:r>
      <w:r>
        <w:rPr>
          <w:rStyle w:val="14"/>
          <w:rFonts w:hint="eastAsia" w:ascii="宋体" w:hAnsi="宋体" w:eastAsia="宋体" w:cs="宋体"/>
          <w:b w:val="0"/>
          <w:bCs w:val="0"/>
          <w:color w:val="000000"/>
          <w:sz w:val="24"/>
          <w:szCs w:val="24"/>
        </w:rPr>
        <w:t>绿化灌溉、地面冲洗、车辆冲洗</w:t>
      </w:r>
      <w:r>
        <w:rPr>
          <w:rFonts w:hint="eastAsia" w:ascii="宋体" w:hAnsi="宋体" w:eastAsia="宋体" w:cs="宋体"/>
          <w:b w:val="0"/>
          <w:bCs w:val="0"/>
          <w:color w:val="000000"/>
          <w:sz w:val="24"/>
          <w:szCs w:val="24"/>
        </w:rPr>
        <w:t>，替代市政自来水，非传统水源年利用量约 850m³，非传统水源利用率≈15.7%，满足绿色建筑要求；</w:t>
      </w:r>
    </w:p>
    <w:p w14:paraId="1DB5F3BD"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tLeast"/>
        <w:ind w:leftChars="0" w:right="0" w:rightChars="0" w:firstLine="480" w:firstLineChars="200"/>
        <w:jc w:val="left"/>
        <w:textAlignment w:val="auto"/>
        <w:rPr>
          <w:rFonts w:hint="eastAsia" w:ascii="宋体" w:hAnsi="宋体" w:eastAsia="宋体" w:cs="宋体"/>
          <w:b w:val="0"/>
          <w:bCs w:val="0"/>
          <w:color w:val="000000"/>
          <w:sz w:val="24"/>
          <w:szCs w:val="24"/>
        </w:rPr>
      </w:pPr>
      <w:r>
        <w:rPr>
          <w:rStyle w:val="14"/>
          <w:rFonts w:hint="eastAsia" w:ascii="宋体" w:hAnsi="宋体" w:eastAsia="宋体" w:cs="宋体"/>
          <w:b w:val="0"/>
          <w:bCs w:val="0"/>
          <w:color w:val="000000"/>
          <w:sz w:val="24"/>
          <w:szCs w:val="24"/>
        </w:rPr>
        <w:t>系统控制</w:t>
      </w:r>
      <w:r>
        <w:rPr>
          <w:rFonts w:hint="eastAsia" w:ascii="宋体" w:hAnsi="宋体" w:eastAsia="宋体" w:cs="宋体"/>
          <w:b w:val="0"/>
          <w:bCs w:val="0"/>
          <w:color w:val="000000"/>
          <w:sz w:val="24"/>
          <w:szCs w:val="24"/>
        </w:rPr>
        <w:t>：雨水回收利用系统采用自动控制，配套变频供水泵，根据用水需求自动调节供水量，同时设置手动控制模式，便于维护。</w:t>
      </w:r>
    </w:p>
    <w:p w14:paraId="0425D96A">
      <w:pPr>
        <w:pStyle w:val="3"/>
        <w:rPr>
          <w:rFonts w:ascii="Times New Roman" w:hAnsi="Times New Roman" w:eastAsia="宋体"/>
        </w:rPr>
      </w:pPr>
      <w:r>
        <w:rPr>
          <w:rFonts w:hint="eastAsia" w:ascii="Times New Roman" w:hAnsi="Times New Roman" w:eastAsia="宋体"/>
        </w:rPr>
        <w:t>七、水量平衡</w:t>
      </w:r>
      <w:bookmarkEnd w:id="17"/>
    </w:p>
    <w:p w14:paraId="00162F7F">
      <w:pPr>
        <w:jc w:val="center"/>
        <w:rPr>
          <w:rFonts w:ascii="Times New Roman" w:hAnsi="Times New Roman" w:eastAsia="宋体"/>
          <w:sz w:val="18"/>
          <w:szCs w:val="18"/>
        </w:rPr>
      </w:pPr>
      <w:r>
        <w:rPr>
          <w:rFonts w:hint="eastAsia" w:ascii="Times New Roman" w:hAnsi="Times New Roman" w:eastAsia="宋体"/>
          <w:sz w:val="18"/>
          <w:szCs w:val="18"/>
        </w:rPr>
        <w:t>表 7-1</w:t>
      </w:r>
      <w:r>
        <w:rPr>
          <w:rFonts w:ascii="Times New Roman" w:hAnsi="Times New Roman" w:eastAsia="宋体"/>
          <w:sz w:val="18"/>
          <w:szCs w:val="18"/>
        </w:rPr>
        <w:t xml:space="preserve"> </w:t>
      </w:r>
      <w:r>
        <w:rPr>
          <w:rFonts w:hint="eastAsia" w:ascii="Times New Roman" w:hAnsi="Times New Roman" w:eastAsia="宋体"/>
          <w:sz w:val="18"/>
          <w:szCs w:val="18"/>
        </w:rPr>
        <w:t>水量平衡计算表（单位：m³）</w:t>
      </w:r>
    </w:p>
    <w:tbl>
      <w:tblPr>
        <w:tblStyle w:val="11"/>
        <w:tblW w:w="0" w:type="auto"/>
        <w:tblCellSpacing w:w="15" w:type="dxa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shd w:val="clear" w:color="auto" w:fill="auto"/>
        <w:tblLayout w:type="autofit"/>
        <w:tblCellMar>
          <w:top w:w="0" w:type="dxa"/>
          <w:left w:w="0" w:type="dxa"/>
          <w:bottom w:w="0" w:type="dxa"/>
          <w:right w:w="0" w:type="dxa"/>
        </w:tblCellMar>
      </w:tblPr>
      <w:tblGrid>
        <w:gridCol w:w="821"/>
        <w:gridCol w:w="689"/>
        <w:gridCol w:w="882"/>
        <w:gridCol w:w="1405"/>
        <w:gridCol w:w="600"/>
        <w:gridCol w:w="600"/>
        <w:gridCol w:w="600"/>
        <w:gridCol w:w="600"/>
        <w:gridCol w:w="2169"/>
      </w:tblGrid>
      <w:tr w14:paraId="04A8A34D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blHeader/>
          <w:tblCellSpacing w:w="15" w:type="dxa"/>
        </w:trPr>
        <w:tc>
          <w:tcPr>
            <w:tcW w:w="0" w:type="auto"/>
            <w:shd w:val="clear" w:color="auto" w:fill="auto"/>
            <w:vAlign w:val="center"/>
          </w:tcPr>
          <w:p w14:paraId="3D386A1E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用水类别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178E8A6A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年用水量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30A605AA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非传统水源利用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46B4C50F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新水用水量（市政自来水）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2B6E2641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耗水量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4E6EEBCA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排水量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3909E289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污水量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12822E42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废水量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7251D57C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备注</w:t>
            </w:r>
          </w:p>
        </w:tc>
      </w:tr>
      <w:tr w14:paraId="55DFFF19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blCellSpacing w:w="15" w:type="dxa"/>
        </w:trPr>
        <w:tc>
          <w:tcPr>
            <w:tcW w:w="0" w:type="auto"/>
            <w:shd w:val="clear" w:color="auto" w:fill="auto"/>
            <w:vAlign w:val="center"/>
          </w:tcPr>
          <w:p w14:paraId="3299B8EE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幼儿生活用水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2D4FF811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2700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02B08F94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0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18698B81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2700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54A91103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540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5BA19BDC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2160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3A3C4DBC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1296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67095099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864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7599125A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耗水率 20%，污水占 60%，废水占 40%</w:t>
            </w:r>
          </w:p>
        </w:tc>
      </w:tr>
      <w:tr w14:paraId="780D7063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blCellSpacing w:w="15" w:type="dxa"/>
        </w:trPr>
        <w:tc>
          <w:tcPr>
            <w:tcW w:w="0" w:type="auto"/>
            <w:shd w:val="clear" w:color="auto" w:fill="auto"/>
            <w:vAlign w:val="center"/>
          </w:tcPr>
          <w:p w14:paraId="5F5EE184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教职工办公用水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26B77D55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500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2B44F828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0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04D1458B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500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53BD7A93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100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2207C0CE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400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034C8035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240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5F4AA943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160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4F28EC90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耗水率 20%，污水占 60%，废水占 40%</w:t>
            </w:r>
          </w:p>
        </w:tc>
      </w:tr>
      <w:tr w14:paraId="228B7558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blCellSpacing w:w="15" w:type="dxa"/>
        </w:trPr>
        <w:tc>
          <w:tcPr>
            <w:tcW w:w="0" w:type="auto"/>
            <w:shd w:val="clear" w:color="auto" w:fill="auto"/>
            <w:vAlign w:val="center"/>
          </w:tcPr>
          <w:p w14:paraId="27390765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厨房餐饮用水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1204E1BE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2000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094FB3E3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0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53F81F34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2000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67C215BC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400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1A138BA5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1600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4AE4CFCF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1600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0A6D7A9F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0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1AB514CD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耗水率 20%，全部为污水</w:t>
            </w:r>
          </w:p>
        </w:tc>
      </w:tr>
      <w:tr w14:paraId="7A0D33AA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blCellSpacing w:w="15" w:type="dxa"/>
        </w:trPr>
        <w:tc>
          <w:tcPr>
            <w:tcW w:w="0" w:type="auto"/>
            <w:shd w:val="clear" w:color="auto" w:fill="auto"/>
            <w:vAlign w:val="center"/>
          </w:tcPr>
          <w:p w14:paraId="45E5BFD9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生活用水小计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56362561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5200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49103934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0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7D6B16AF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5200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2EE22AA4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1040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4819A8F4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4160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1CACBEEE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3136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5C139FB3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1024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17B1A3CD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/</w:t>
            </w:r>
          </w:p>
        </w:tc>
      </w:tr>
      <w:tr w14:paraId="7FAA2571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blCellSpacing w:w="15" w:type="dxa"/>
        </w:trPr>
        <w:tc>
          <w:tcPr>
            <w:tcW w:w="0" w:type="auto"/>
            <w:shd w:val="clear" w:color="auto" w:fill="auto"/>
            <w:vAlign w:val="center"/>
          </w:tcPr>
          <w:p w14:paraId="413A1148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绿化灌溉用水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32EA3ED8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115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32A8826B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90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716F2499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25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36D4671B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115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6F0CBF8F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0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5498E706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0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66274351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0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56682568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全部耗水，雨水利用 90m³</w:t>
            </w:r>
          </w:p>
        </w:tc>
      </w:tr>
      <w:tr w14:paraId="097810B0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blCellSpacing w:w="15" w:type="dxa"/>
        </w:trPr>
        <w:tc>
          <w:tcPr>
            <w:tcW w:w="0" w:type="auto"/>
            <w:shd w:val="clear" w:color="auto" w:fill="auto"/>
            <w:vAlign w:val="center"/>
          </w:tcPr>
          <w:p w14:paraId="441A53D0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地面冲洗用水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64D0A598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65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0FF8C0CF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65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444F91E4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0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1CCF0389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13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797773A1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52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05C70B86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0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6FA1CE19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52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03CFAD8B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耗水率 20%，雨水利用 65m³</w:t>
            </w:r>
          </w:p>
        </w:tc>
      </w:tr>
      <w:tr w14:paraId="237CA0EA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blCellSpacing w:w="15" w:type="dxa"/>
        </w:trPr>
        <w:tc>
          <w:tcPr>
            <w:tcW w:w="0" w:type="auto"/>
            <w:shd w:val="clear" w:color="auto" w:fill="auto"/>
            <w:vAlign w:val="center"/>
          </w:tcPr>
          <w:p w14:paraId="2938D75A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车辆冲洗用水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1EF1FCC0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50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6D2244E0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50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5C25E334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0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08883ED0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10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7701F986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40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49B5E22D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0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62A81E10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40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733F9E20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耗水率 20%，雨水利用 50m³</w:t>
            </w:r>
          </w:p>
        </w:tc>
      </w:tr>
      <w:tr w14:paraId="1DA6BBA3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blCellSpacing w:w="15" w:type="dxa"/>
        </w:trPr>
        <w:tc>
          <w:tcPr>
            <w:tcW w:w="0" w:type="auto"/>
            <w:shd w:val="clear" w:color="auto" w:fill="auto"/>
            <w:vAlign w:val="center"/>
          </w:tcPr>
          <w:p w14:paraId="65E1B0E7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杂用水小计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2D2540E9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230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0AEF12AC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205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1B2CF2ED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25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4B8A2E21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138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4DBACF16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92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4FD6CE74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0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2016DE09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92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531A6AF8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/</w:t>
            </w:r>
          </w:p>
        </w:tc>
      </w:tr>
      <w:tr w14:paraId="06E1AD06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blCellSpacing w:w="15" w:type="dxa"/>
        </w:trPr>
        <w:tc>
          <w:tcPr>
            <w:tcW w:w="0" w:type="auto"/>
            <w:shd w:val="clear" w:color="auto" w:fill="auto"/>
            <w:vAlign w:val="center"/>
          </w:tcPr>
          <w:p w14:paraId="363F0AB9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废水回用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25203891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-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57DB91E0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645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6D4EE752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-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6D5D9BA1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-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0E84A3B8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-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5385C182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-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1062A391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645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4E115B32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生活废水回用 645m³ 用于绿化灌溉</w:t>
            </w:r>
          </w:p>
        </w:tc>
      </w:tr>
      <w:tr w14:paraId="411E6C01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blCellSpacing w:w="15" w:type="dxa"/>
        </w:trPr>
        <w:tc>
          <w:tcPr>
            <w:tcW w:w="0" w:type="auto"/>
            <w:shd w:val="clear" w:color="auto" w:fill="auto"/>
            <w:vAlign w:val="center"/>
          </w:tcPr>
          <w:p w14:paraId="76073E1D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总 计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49FC98B0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5430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5AC07A9A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850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3A87F32D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4480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309D752E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1178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1B38B857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4252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6C0A9BAE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3136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35818823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1116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6B06B2A1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atLeast"/>
              <w:ind w:right="0" w:right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非传统水源利用率 = 850/5430≈15.7%</w:t>
            </w:r>
          </w:p>
        </w:tc>
      </w:tr>
    </w:tbl>
    <w:p w14:paraId="044060C1">
      <w:pPr>
        <w:rPr>
          <w:rFonts w:ascii="Times New Roman" w:hAnsi="Times New Roman" w:eastAsia="宋体"/>
        </w:rPr>
      </w:pPr>
      <w:bookmarkStart w:id="18" w:name="_GoBack"/>
      <w:bookmarkEnd w:id="18"/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等线 Light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  <w:font w:name="Cambria Math">
    <w:panose1 w:val="02040503050406030204"/>
    <w:charset w:val="00"/>
    <w:family w:val="roman"/>
    <w:pitch w:val="default"/>
    <w:sig w:usb0="E00006FF" w:usb1="420024FF" w:usb2="02000000" w:usb3="00000000" w:csb0="2000019F" w:csb1="00000000"/>
  </w:font>
  <w:font w:name="Segoe UI Emoji">
    <w:panose1 w:val="020B0502040204020203"/>
    <w:charset w:val="00"/>
    <w:family w:val="auto"/>
    <w:pitch w:val="default"/>
    <w:sig w:usb0="00000001" w:usb1="02000000" w:usb2="08000000" w:usb3="00000000" w:csb0="00000001" w:csb1="00000000"/>
  </w:font>
  <w:font w:name="Wingdings">
    <w:panose1 w:val="05000000000000000000"/>
    <w:charset w:val="00"/>
    <w:family w:val="auto"/>
    <w:pitch w:val="default"/>
    <w:sig w:usb0="00000000" w:usb1="00000000" w:usb2="00000000" w:usb3="00000000" w:csb0="80000000" w:csb1="00000000"/>
  </w:font>
  <w:font w:name="MS PGothic">
    <w:panose1 w:val="020B0600070205080204"/>
    <w:charset w:val="80"/>
    <w:family w:val="auto"/>
    <w:pitch w:val="default"/>
    <w:sig w:usb0="E00002FF" w:usb1="6AC7FDFB" w:usb2="08000012" w:usb3="00000000" w:csb0="4002009F" w:csb1="DFD7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29E9187F"/>
    <w:multiLevelType w:val="multilevel"/>
    <w:tmpl w:val="29E9187F"/>
    <w:lvl w:ilvl="0" w:tentative="0">
      <w:start w:val="1"/>
      <w:numFmt w:val="japaneseCounting"/>
      <w:lvlText w:val="%1、"/>
      <w:lvlJc w:val="left"/>
      <w:pPr>
        <w:ind w:left="660" w:hanging="660"/>
      </w:pPr>
      <w:rPr>
        <w:rFonts w:hint="default"/>
      </w:rPr>
    </w:lvl>
    <w:lvl w:ilvl="1" w:tentative="0">
      <w:start w:val="1"/>
      <w:numFmt w:val="lowerLetter"/>
      <w:lvlText w:val="%2)"/>
      <w:lvlJc w:val="left"/>
      <w:pPr>
        <w:ind w:left="840" w:hanging="420"/>
      </w:pPr>
    </w:lvl>
    <w:lvl w:ilvl="2" w:tentative="0">
      <w:start w:val="1"/>
      <w:numFmt w:val="lowerRoman"/>
      <w:lvlText w:val="%3."/>
      <w:lvlJc w:val="right"/>
      <w:pPr>
        <w:ind w:left="1260" w:hanging="420"/>
      </w:pPr>
    </w:lvl>
    <w:lvl w:ilvl="3" w:tentative="0">
      <w:start w:val="1"/>
      <w:numFmt w:val="decimal"/>
      <w:lvlText w:val="%4."/>
      <w:lvlJc w:val="left"/>
      <w:pPr>
        <w:ind w:left="1680" w:hanging="420"/>
      </w:pPr>
    </w:lvl>
    <w:lvl w:ilvl="4" w:tentative="0">
      <w:start w:val="1"/>
      <w:numFmt w:val="lowerLetter"/>
      <w:lvlText w:val="%5)"/>
      <w:lvlJc w:val="left"/>
      <w:pPr>
        <w:ind w:left="2100" w:hanging="420"/>
      </w:pPr>
    </w:lvl>
    <w:lvl w:ilvl="5" w:tentative="0">
      <w:start w:val="1"/>
      <w:numFmt w:val="lowerRoman"/>
      <w:lvlText w:val="%6."/>
      <w:lvlJc w:val="right"/>
      <w:pPr>
        <w:ind w:left="2520" w:hanging="420"/>
      </w:pPr>
    </w:lvl>
    <w:lvl w:ilvl="6" w:tentative="0">
      <w:start w:val="1"/>
      <w:numFmt w:val="decimal"/>
      <w:lvlText w:val="%7."/>
      <w:lvlJc w:val="left"/>
      <w:pPr>
        <w:ind w:left="2940" w:hanging="420"/>
      </w:pPr>
    </w:lvl>
    <w:lvl w:ilvl="7" w:tentative="0">
      <w:start w:val="1"/>
      <w:numFmt w:val="lowerLetter"/>
      <w:lvlText w:val="%8)"/>
      <w:lvlJc w:val="left"/>
      <w:pPr>
        <w:ind w:left="3360" w:hanging="420"/>
      </w:pPr>
    </w:lvl>
    <w:lvl w:ilvl="8" w:tentative="0">
      <w:start w:val="1"/>
      <w:numFmt w:val="lowerRoman"/>
      <w:lvlText w:val="%9."/>
      <w:lvlJc w:val="right"/>
      <w:pPr>
        <w:ind w:left="3780" w:hanging="42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80"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36572"/>
    <w:rsid w:val="00033123"/>
    <w:rsid w:val="001C7CE7"/>
    <w:rsid w:val="00242E1E"/>
    <w:rsid w:val="0025039F"/>
    <w:rsid w:val="00251704"/>
    <w:rsid w:val="002832C3"/>
    <w:rsid w:val="00301F1B"/>
    <w:rsid w:val="00336D09"/>
    <w:rsid w:val="00364168"/>
    <w:rsid w:val="003D6020"/>
    <w:rsid w:val="003E624D"/>
    <w:rsid w:val="004F46F2"/>
    <w:rsid w:val="00636572"/>
    <w:rsid w:val="006D31DD"/>
    <w:rsid w:val="006F401D"/>
    <w:rsid w:val="00816E14"/>
    <w:rsid w:val="00874B4B"/>
    <w:rsid w:val="008F701E"/>
    <w:rsid w:val="009A7D34"/>
    <w:rsid w:val="009E4975"/>
    <w:rsid w:val="00A347B5"/>
    <w:rsid w:val="00A51128"/>
    <w:rsid w:val="00AB5301"/>
    <w:rsid w:val="00AC2D5D"/>
    <w:rsid w:val="00B36C54"/>
    <w:rsid w:val="00C73A6B"/>
    <w:rsid w:val="00CC58DE"/>
    <w:rsid w:val="00CF7525"/>
    <w:rsid w:val="00D55D32"/>
    <w:rsid w:val="00EF6029"/>
    <w:rsid w:val="00F103A7"/>
    <w:rsid w:val="00F24C09"/>
    <w:rsid w:val="00FD145B"/>
    <w:rsid w:val="0F1F58A5"/>
    <w:rsid w:val="403324C6"/>
    <w:rsid w:val="770B3D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9" w:semiHidden="0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semiHidden="0" w:name="toc 2"/>
    <w:lsdException w:uiPriority="39" w:semiHidden="0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uiPriority="99" w:semiHidden="0" w:name="header"/>
    <w:lsdException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uiPriority="1" w:name="Default Paragraph Font"/>
    <w:lsdException w:qFormat="1" w:unhideWhenUsed="0" w:uiPriority="1" w:semiHidden="0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unhideWhenUsed="0" w:uiPriority="39" w:semiHidden="0" w:name="Table Grid"/>
    <w:lsdException w:uiPriority="99" w:name="Table Theme"/>
    <w:lsdException w:qFormat="1" w:unhideWhenUsed="0" w:uiPriority="99" w:name="Placeholder Text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link w:val="23"/>
    <w:qFormat/>
    <w:uiPriority w:val="9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3">
    <w:name w:val="heading 2"/>
    <w:basedOn w:val="1"/>
    <w:next w:val="1"/>
    <w:link w:val="16"/>
    <w:unhideWhenUsed/>
    <w:qFormat/>
    <w:uiPriority w:val="9"/>
    <w:pPr>
      <w:keepNext/>
      <w:keepLines/>
      <w:spacing w:before="260" w:after="260" w:line="416" w:lineRule="auto"/>
      <w:outlineLvl w:val="1"/>
    </w:pPr>
    <w:rPr>
      <w:rFonts w:asciiTheme="majorHAnsi" w:hAnsiTheme="majorHAnsi" w:eastAsiaTheme="majorEastAsia" w:cstheme="majorBidi"/>
      <w:b/>
      <w:bCs/>
      <w:sz w:val="32"/>
      <w:szCs w:val="32"/>
    </w:rPr>
  </w:style>
  <w:style w:type="paragraph" w:styleId="4">
    <w:name w:val="heading 3"/>
    <w:basedOn w:val="1"/>
    <w:next w:val="1"/>
    <w:link w:val="18"/>
    <w:unhideWhenUsed/>
    <w:qFormat/>
    <w:uiPriority w:val="9"/>
    <w:pPr>
      <w:keepNext/>
      <w:keepLines/>
      <w:spacing w:before="260" w:after="260" w:line="416" w:lineRule="auto"/>
      <w:outlineLvl w:val="2"/>
    </w:pPr>
    <w:rPr>
      <w:b/>
      <w:bCs/>
      <w:sz w:val="32"/>
      <w:szCs w:val="32"/>
    </w:rPr>
  </w:style>
  <w:style w:type="character" w:default="1" w:styleId="13">
    <w:name w:val="Default Paragraph Font"/>
    <w:semiHidden/>
    <w:unhideWhenUsed/>
    <w:uiPriority w:val="1"/>
  </w:style>
  <w:style w:type="table" w:default="1" w:styleId="11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5">
    <w:name w:val="Body Text"/>
    <w:basedOn w:val="1"/>
    <w:link w:val="22"/>
    <w:qFormat/>
    <w:uiPriority w:val="1"/>
    <w:rPr>
      <w:rFonts w:ascii="宋体" w:hAnsi="宋体" w:eastAsia="宋体" w:cs="宋体"/>
      <w:sz w:val="24"/>
      <w:szCs w:val="24"/>
      <w:lang w:val="zh-CN" w:bidi="zh-CN"/>
    </w:rPr>
  </w:style>
  <w:style w:type="paragraph" w:styleId="6">
    <w:name w:val="toc 3"/>
    <w:basedOn w:val="1"/>
    <w:next w:val="1"/>
    <w:autoRedefine/>
    <w:unhideWhenUsed/>
    <w:uiPriority w:val="39"/>
    <w:pPr>
      <w:ind w:left="840" w:leftChars="400"/>
    </w:pPr>
  </w:style>
  <w:style w:type="paragraph" w:styleId="7">
    <w:name w:val="Balloon Text"/>
    <w:basedOn w:val="1"/>
    <w:link w:val="25"/>
    <w:semiHidden/>
    <w:unhideWhenUsed/>
    <w:qFormat/>
    <w:uiPriority w:val="99"/>
    <w:rPr>
      <w:sz w:val="18"/>
      <w:szCs w:val="18"/>
    </w:rPr>
  </w:style>
  <w:style w:type="paragraph" w:styleId="8">
    <w:name w:val="footer"/>
    <w:basedOn w:val="1"/>
    <w:link w:val="21"/>
    <w:unhideWhenUsed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9">
    <w:name w:val="header"/>
    <w:basedOn w:val="1"/>
    <w:link w:val="20"/>
    <w:unhideWhenUsed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10">
    <w:name w:val="toc 2"/>
    <w:basedOn w:val="1"/>
    <w:next w:val="1"/>
    <w:autoRedefine/>
    <w:unhideWhenUsed/>
    <w:uiPriority w:val="39"/>
    <w:pPr>
      <w:ind w:left="420" w:leftChars="200"/>
    </w:pPr>
  </w:style>
  <w:style w:type="table" w:styleId="12">
    <w:name w:val="Table Grid"/>
    <w:basedOn w:val="11"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14">
    <w:name w:val="Strong"/>
    <w:basedOn w:val="13"/>
    <w:qFormat/>
    <w:uiPriority w:val="22"/>
    <w:rPr>
      <w:b/>
    </w:rPr>
  </w:style>
  <w:style w:type="character" w:styleId="15">
    <w:name w:val="Hyperlink"/>
    <w:basedOn w:val="13"/>
    <w:unhideWhenUsed/>
    <w:qFormat/>
    <w:uiPriority w:val="99"/>
    <w:rPr>
      <w:color w:val="0563C1" w:themeColor="hyperlink"/>
      <w:u w:val="single"/>
      <w14:textFill>
        <w14:solidFill>
          <w14:schemeClr w14:val="hlink"/>
        </w14:solidFill>
      </w14:textFill>
    </w:rPr>
  </w:style>
  <w:style w:type="character" w:customStyle="1" w:styleId="16">
    <w:name w:val="标题 2 Char"/>
    <w:basedOn w:val="13"/>
    <w:link w:val="3"/>
    <w:qFormat/>
    <w:uiPriority w:val="9"/>
    <w:rPr>
      <w:rFonts w:asciiTheme="majorHAnsi" w:hAnsiTheme="majorHAnsi" w:eastAsiaTheme="majorEastAsia" w:cstheme="majorBidi"/>
      <w:b/>
      <w:bCs/>
      <w:sz w:val="32"/>
      <w:szCs w:val="32"/>
    </w:rPr>
  </w:style>
  <w:style w:type="paragraph" w:styleId="17">
    <w:name w:val="List Paragraph"/>
    <w:basedOn w:val="1"/>
    <w:qFormat/>
    <w:uiPriority w:val="34"/>
    <w:pPr>
      <w:ind w:firstLine="420" w:firstLineChars="200"/>
    </w:pPr>
  </w:style>
  <w:style w:type="character" w:customStyle="1" w:styleId="18">
    <w:name w:val="标题 3 Char"/>
    <w:basedOn w:val="13"/>
    <w:link w:val="4"/>
    <w:uiPriority w:val="9"/>
    <w:rPr>
      <w:b/>
      <w:bCs/>
      <w:sz w:val="32"/>
      <w:szCs w:val="32"/>
    </w:rPr>
  </w:style>
  <w:style w:type="character" w:styleId="19">
    <w:name w:val="Placeholder Text"/>
    <w:basedOn w:val="13"/>
    <w:semiHidden/>
    <w:qFormat/>
    <w:uiPriority w:val="99"/>
    <w:rPr>
      <w:color w:val="808080"/>
    </w:rPr>
  </w:style>
  <w:style w:type="character" w:customStyle="1" w:styleId="20">
    <w:name w:val="页眉 Char"/>
    <w:basedOn w:val="13"/>
    <w:link w:val="9"/>
    <w:uiPriority w:val="99"/>
    <w:rPr>
      <w:sz w:val="18"/>
      <w:szCs w:val="18"/>
    </w:rPr>
  </w:style>
  <w:style w:type="character" w:customStyle="1" w:styleId="21">
    <w:name w:val="页脚 Char"/>
    <w:basedOn w:val="13"/>
    <w:link w:val="8"/>
    <w:uiPriority w:val="99"/>
    <w:rPr>
      <w:sz w:val="18"/>
      <w:szCs w:val="18"/>
    </w:rPr>
  </w:style>
  <w:style w:type="character" w:customStyle="1" w:styleId="22">
    <w:name w:val="正文文本 Char"/>
    <w:basedOn w:val="13"/>
    <w:link w:val="5"/>
    <w:qFormat/>
    <w:uiPriority w:val="1"/>
    <w:rPr>
      <w:rFonts w:ascii="宋体" w:hAnsi="宋体" w:eastAsia="宋体" w:cs="宋体"/>
      <w:sz w:val="24"/>
      <w:szCs w:val="24"/>
      <w:lang w:val="zh-CN" w:bidi="zh-CN"/>
    </w:rPr>
  </w:style>
  <w:style w:type="character" w:customStyle="1" w:styleId="23">
    <w:name w:val="标题 1 Char"/>
    <w:basedOn w:val="13"/>
    <w:link w:val="2"/>
    <w:uiPriority w:val="9"/>
    <w:rPr>
      <w:b/>
      <w:bCs/>
      <w:kern w:val="44"/>
      <w:sz w:val="44"/>
      <w:szCs w:val="44"/>
    </w:rPr>
  </w:style>
  <w:style w:type="paragraph" w:customStyle="1" w:styleId="24">
    <w:name w:val="TOC Heading"/>
    <w:basedOn w:val="2"/>
    <w:next w:val="1"/>
    <w:unhideWhenUsed/>
    <w:qFormat/>
    <w:uiPriority w:val="39"/>
    <w:pPr>
      <w:widowControl/>
      <w:spacing w:before="240" w:after="0" w:line="259" w:lineRule="auto"/>
      <w:jc w:val="left"/>
      <w:outlineLvl w:val="9"/>
    </w:pPr>
    <w:rPr>
      <w:rFonts w:asciiTheme="majorHAnsi" w:hAnsiTheme="majorHAnsi" w:eastAsiaTheme="majorEastAsia" w:cstheme="majorBidi"/>
      <w:b w:val="0"/>
      <w:bCs w:val="0"/>
      <w:color w:val="2E75B6" w:themeColor="accent1" w:themeShade="BF"/>
      <w:kern w:val="0"/>
      <w:sz w:val="32"/>
      <w:szCs w:val="32"/>
    </w:rPr>
  </w:style>
  <w:style w:type="character" w:customStyle="1" w:styleId="25">
    <w:name w:val="批注框文本 Char"/>
    <w:basedOn w:val="13"/>
    <w:link w:val="7"/>
    <w:semiHidden/>
    <w:qFormat/>
    <w:uiPriority w:val="99"/>
    <w:rPr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7" Type="http://schemas.openxmlformats.org/officeDocument/2006/relationships/fontTable" Target="fontTable.xml"/><Relationship Id="rId6" Type="http://schemas.openxmlformats.org/officeDocument/2006/relationships/customXml" Target="../customXml/item1.xml"/><Relationship Id="rId5" Type="http://schemas.openxmlformats.org/officeDocument/2006/relationships/numbering" Target="numbering.xml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84B325B-CA9D-4246-98C5-FF00D04AF209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11</Pages>
  <Words>1185</Words>
  <Characters>1438</Characters>
  <Lines>28</Lines>
  <Paragraphs>7</Paragraphs>
  <TotalTime>0</TotalTime>
  <ScaleCrop>false</ScaleCrop>
  <LinksUpToDate>false</LinksUpToDate>
  <CharactersWithSpaces>1501</CharactersWithSpaces>
  <Application>WPS Office_12.1.0.25225_F1E327BC-269C-435d-A152-05C5408002CA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2021-11-17T06:47:00Z</dcterms:created>
  <dc:creator>Administrator</dc:creator>
  <cp:lastModifiedBy>Mike</cp:lastModifiedBy>
  <dcterms:modified xsi:type="dcterms:W3CDTF">2026-03-13T03:26:01Z</dcterms:modified>
  <cp:revision>2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TemplateDocerSaveRecord">
    <vt:lpwstr>eyJoZGlkIjoiYmE1NWI1M2ZmMWEwYjQ1NDE0YTRiN2IyZmE5MjBmNmQiLCJ1c2VySWQiOiI1ODA2NTI5NzkifQ==</vt:lpwstr>
  </property>
  <property fmtid="{D5CDD505-2E9C-101B-9397-08002B2CF9AE}" pid="3" name="KSOProductBuildVer">
    <vt:lpwstr>2052-12.1.0.25225</vt:lpwstr>
  </property>
  <property fmtid="{D5CDD505-2E9C-101B-9397-08002B2CF9AE}" pid="4" name="ICV">
    <vt:lpwstr>D0DBAB10551D420F9BA4717FCE32D19C_13</vt:lpwstr>
  </property>
</Properties>
</file>