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弧韵书语·风启新篇——绿色低碳理念下的高校图书馆改造设计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030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项目名称：弧韵书语·风启新篇——绿色低碳理念下的高校图书馆改造设计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全寿命期单位建筑面积碳排放强为22.96kgCO2/（m2·a）减碳率38.48%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