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05F2B5">
      <w:pPr>
        <w:pStyle w:val="2"/>
        <w:jc w:val="center"/>
      </w:pPr>
    </w:p>
    <w:p w14:paraId="770B6567">
      <w:pPr>
        <w:pStyle w:val="2"/>
        <w:jc w:val="center"/>
      </w:pPr>
    </w:p>
    <w:p w14:paraId="25C6A60B">
      <w:pPr>
        <w:pStyle w:val="2"/>
        <w:jc w:val="center"/>
      </w:pPr>
    </w:p>
    <w:p w14:paraId="454C94C3">
      <w:pPr>
        <w:pStyle w:val="2"/>
        <w:jc w:val="center"/>
        <w:rPr>
          <w:rFonts w:hint="eastAsia"/>
        </w:rPr>
      </w:pPr>
      <w:r>
        <w:rPr>
          <w:rFonts w:hint="eastAsia"/>
        </w:rPr>
        <w:t>绿屿叠院一一立体森林人居新地标</w:t>
      </w:r>
    </w:p>
    <w:p w14:paraId="038199EA">
      <w:pPr>
        <w:pStyle w:val="2"/>
        <w:jc w:val="center"/>
      </w:pPr>
      <w:r>
        <w:rPr>
          <w:rFonts w:hint="eastAsia"/>
        </w:rPr>
        <w:t>地面停车率</w:t>
      </w:r>
      <w:r>
        <w:t>计算书</w:t>
      </w:r>
    </w:p>
    <w:p w14:paraId="57DC4961">
      <w:pPr>
        <w:rPr>
          <w:kern w:val="44"/>
          <w:sz w:val="44"/>
          <w:szCs w:val="44"/>
        </w:rPr>
      </w:pPr>
      <w:r>
        <w:br w:type="page"/>
      </w:r>
    </w:p>
    <w:p w14:paraId="34961613">
      <w:pPr>
        <w:pStyle w:val="3"/>
        <w:rPr>
          <w:rStyle w:val="12"/>
          <w:i w:val="0"/>
          <w:iCs w:val="0"/>
          <w:color w:val="auto"/>
        </w:rPr>
      </w:pPr>
      <w:r>
        <w:rPr>
          <w:rStyle w:val="12"/>
          <w:rFonts w:hint="eastAsia"/>
          <w:i w:val="0"/>
          <w:iCs w:val="0"/>
          <w:color w:val="auto"/>
        </w:rPr>
        <w:t>1</w:t>
      </w:r>
      <w:r>
        <w:rPr>
          <w:rStyle w:val="12"/>
          <w:i w:val="0"/>
          <w:iCs w:val="0"/>
          <w:color w:val="auto"/>
        </w:rPr>
        <w:t xml:space="preserve"> </w:t>
      </w:r>
      <w:r>
        <w:rPr>
          <w:rStyle w:val="12"/>
          <w:rFonts w:hint="eastAsia"/>
          <w:i w:val="0"/>
          <w:iCs w:val="0"/>
          <w:color w:val="auto"/>
        </w:rPr>
        <w:t>项目</w:t>
      </w:r>
      <w:r>
        <w:rPr>
          <w:rStyle w:val="12"/>
          <w:i w:val="0"/>
          <w:iCs w:val="0"/>
          <w:color w:val="auto"/>
        </w:rPr>
        <w:t>概况</w:t>
      </w:r>
    </w:p>
    <w:p w14:paraId="20040845">
      <w:pPr>
        <w:pStyle w:val="2"/>
        <w:jc w:val="both"/>
        <w:rPr>
          <w:sz w:val="24"/>
        </w:rPr>
      </w:pPr>
      <w:r>
        <w:rPr>
          <w:b/>
          <w:sz w:val="24"/>
        </w:rPr>
        <w:t>项目名称</w:t>
      </w:r>
      <w:r>
        <w:rPr>
          <w:sz w:val="24"/>
        </w:rPr>
        <w:t>：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2"/>
          <w:lang w:val="en-US" w:eastAsia="zh-CN" w:bidi="ar-SA"/>
        </w:rPr>
        <w:t>绿屿叠院一一立体森林人居新地标</w:t>
      </w:r>
    </w:p>
    <w:p w14:paraId="2194E2BF">
      <w:pPr>
        <w:ind w:firstLine="480" w:firstLineChars="200"/>
        <w:rPr>
          <w:sz w:val="24"/>
        </w:rPr>
      </w:pPr>
      <w:r>
        <w:rPr>
          <w:sz w:val="24"/>
        </w:rPr>
        <w:t>项目位于</w:t>
      </w:r>
      <w:r>
        <w:rPr>
          <w:rFonts w:hint="eastAsia"/>
          <w:kern w:val="2"/>
          <w:sz w:val="24"/>
          <w:szCs w:val="24"/>
        </w:rPr>
        <w:t>长春市</w:t>
      </w:r>
      <w:r>
        <w:rPr>
          <w:rFonts w:hint="eastAsia"/>
          <w:kern w:val="2"/>
          <w:sz w:val="24"/>
          <w:szCs w:val="24"/>
          <w:lang w:val="en-US" w:eastAsia="zh-CN"/>
        </w:rPr>
        <w:t>万豪城（</w:t>
      </w:r>
      <w:r>
        <w:rPr>
          <w:rFonts w:hint="eastAsia"/>
          <w:kern w:val="2"/>
          <w:sz w:val="24"/>
          <w:szCs w:val="24"/>
        </w:rPr>
        <w:t>洋浦大街—吉林大路交叉口</w:t>
      </w:r>
      <w:r>
        <w:rPr>
          <w:rFonts w:hint="eastAsia"/>
          <w:kern w:val="2"/>
          <w:sz w:val="24"/>
          <w:szCs w:val="24"/>
          <w:lang w:eastAsia="zh-CN"/>
        </w:rPr>
        <w:t>）</w:t>
      </w:r>
      <w:r>
        <w:rPr>
          <w:sz w:val="24"/>
        </w:rPr>
        <w:t>路。该项目总用地面积为</w:t>
      </w:r>
      <w:r>
        <w:rPr>
          <w:rFonts w:hint="eastAsia"/>
          <w:sz w:val="24"/>
        </w:rPr>
        <w:t>27936</w:t>
      </w:r>
      <w:r>
        <w:rPr>
          <w:sz w:val="24"/>
        </w:rPr>
        <w:t>平方米，建筑面积为</w:t>
      </w:r>
      <w:r>
        <w:rPr>
          <w:rFonts w:hint="eastAsia"/>
          <w:sz w:val="24"/>
        </w:rPr>
        <w:t>40295</w:t>
      </w:r>
      <w:r>
        <w:rPr>
          <w:sz w:val="24"/>
        </w:rPr>
        <w:t>平方米。</w:t>
      </w:r>
    </w:p>
    <w:p w14:paraId="132EE561">
      <w:pPr>
        <w:ind w:firstLine="420" w:firstLineChars="200"/>
        <w:rPr>
          <w:sz w:val="24"/>
        </w:rPr>
      </w:pPr>
      <w:r>
        <w:rPr>
          <w:lang w:val="zh-CN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340995</wp:posOffset>
            </wp:positionV>
            <wp:extent cx="5266690" cy="2962910"/>
            <wp:effectExtent l="0" t="0" r="6350" b="8890"/>
            <wp:wrapSquare wrapText="bothSides"/>
            <wp:docPr id="2" name="图片 2" descr="主图2最终版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主图2最终版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3FC1A"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 w14:paraId="64A0DA94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55058663">
      <w:pPr>
        <w:spacing w:line="276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</w:t>
      </w:r>
      <w:r>
        <w:rPr>
          <w:rFonts w:hint="eastAsia"/>
          <w:sz w:val="24"/>
        </w:rPr>
        <w:t>（2</w:t>
      </w:r>
      <w:r>
        <w:rPr>
          <w:sz w:val="24"/>
        </w:rPr>
        <w:t>024</w:t>
      </w:r>
      <w:r>
        <w:rPr>
          <w:rFonts w:hint="eastAsia"/>
          <w:sz w:val="24"/>
        </w:rPr>
        <w:t>年版）</w:t>
      </w:r>
      <w:r>
        <w:rPr>
          <w:sz w:val="24"/>
        </w:rPr>
        <w:t>第7.2.3 条明确要求：</w:t>
      </w:r>
    </w:p>
    <w:p w14:paraId="2B877C70"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采用机械式停车设施、地下停车库或地面停车楼等方式，评价分值为8分，并按下列规则评分：</w:t>
      </w:r>
    </w:p>
    <w:p w14:paraId="056B0C11"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1   住宅建筑地面停车位数量与住宅总套数的比率应小于10%，得8分；</w:t>
      </w:r>
    </w:p>
    <w:p w14:paraId="68EC42BD"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2  公共建筑地面停车占地面积与其总建设用地面积的比率应小于8%，得8分。</w:t>
      </w:r>
    </w:p>
    <w:p w14:paraId="46EB0775">
      <w:pPr>
        <w:ind w:firstLine="420"/>
        <w:rPr>
          <w:rFonts w:asciiTheme="minorEastAsia" w:hAnsiTheme="minorEastAsia"/>
          <w:sz w:val="24"/>
          <w:szCs w:val="21"/>
        </w:rPr>
      </w:pPr>
    </w:p>
    <w:p w14:paraId="153C6B10"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4F768056">
      <w:pPr>
        <w:ind w:firstLine="420"/>
        <w:rPr>
          <w:u w:val="single"/>
        </w:rPr>
      </w:pPr>
      <w:r>
        <w:rPr>
          <w:rFonts w:hint="eastAsia"/>
        </w:rPr>
        <w:t>地面</w:t>
      </w:r>
      <w:r>
        <w:t>停车位数：</w:t>
      </w:r>
      <w:r>
        <w:rPr>
          <w:rFonts w:hint="eastAsia"/>
          <w:sz w:val="24"/>
          <w:lang w:val="en-US" w:eastAsia="zh-CN"/>
        </w:rPr>
        <w:t>203</w:t>
      </w:r>
      <w:r>
        <w:rPr>
          <w:rFonts w:hint="eastAsia"/>
          <w:u w:val="single"/>
        </w:rPr>
        <w:t>个</w:t>
      </w:r>
    </w:p>
    <w:p w14:paraId="1EBD44E2">
      <w:pPr>
        <w:ind w:firstLine="420"/>
      </w:pPr>
    </w:p>
    <w:p w14:paraId="3551852E">
      <w:pPr>
        <w:ind w:firstLine="420"/>
        <w:rPr>
          <w:u w:val="single"/>
        </w:rPr>
      </w:pPr>
      <w:r>
        <w:rPr>
          <w:rFonts w:hint="eastAsia"/>
        </w:rPr>
        <w:t>小区住宅套数</w:t>
      </w:r>
      <w:r>
        <w:t>：</w:t>
      </w:r>
      <w:r>
        <w:rPr>
          <w:rFonts w:hint="eastAsia"/>
          <w:lang w:val="en-US" w:eastAsia="zh-CN"/>
        </w:rPr>
        <w:t>233</w:t>
      </w:r>
      <w:bookmarkStart w:id="0" w:name="_GoBack"/>
      <w:bookmarkEnd w:id="0"/>
      <w:r>
        <w:rPr>
          <w:rFonts w:hint="eastAsia"/>
          <w:u w:val="single"/>
        </w:rPr>
        <w:t>套</w:t>
      </w:r>
    </w:p>
    <w:p w14:paraId="5A8511D3"/>
    <w:p w14:paraId="412A1DAA">
      <w:pPr>
        <w:ind w:firstLine="420"/>
      </w:pPr>
      <w:r>
        <w:rPr>
          <w:rFonts w:hint="eastAsia"/>
        </w:rPr>
        <w:t>地面停车率=地面停车占地面积/总建设用地面积</w:t>
      </w:r>
    </w:p>
    <w:p w14:paraId="52DA201D">
      <w:pPr>
        <w:ind w:left="1260" w:firstLine="210" w:firstLineChars="100"/>
      </w:pPr>
    </w:p>
    <w:p w14:paraId="739091B0">
      <w:pPr>
        <w:ind w:left="1260" w:firstLine="210" w:firstLineChars="100"/>
        <w:rPr>
          <w:rFonts w:hint="default" w:eastAsiaTheme="minorEastAsia"/>
          <w:u w:val="single"/>
          <w:lang w:val="en-US" w:eastAsia="zh-CN"/>
        </w:rPr>
      </w:pPr>
      <w:r>
        <w:rPr>
          <w:rFonts w:hint="eastAsia"/>
        </w:rPr>
        <w:t>=</w:t>
      </w:r>
      <w:r>
        <w:t xml:space="preserve"> </w:t>
      </w:r>
      <w:r>
        <w:rPr>
          <w:rFonts w:hint="eastAsia"/>
          <w:sz w:val="24"/>
          <w:lang w:val="en-US" w:eastAsia="zh-CN"/>
        </w:rPr>
        <w:t>2689.4</w:t>
      </w:r>
      <w:r>
        <w:rPr>
          <w:rFonts w:hint="eastAsia"/>
          <w:u w:val="single"/>
        </w:rPr>
        <w:t>/</w:t>
      </w:r>
      <w:r>
        <w:rPr>
          <w:rFonts w:hint="eastAsia"/>
          <w:sz w:val="24"/>
        </w:rPr>
        <w:t>27936</w:t>
      </w:r>
      <w:r>
        <w:t xml:space="preserve">  =</w:t>
      </w:r>
      <w:r>
        <w:rPr>
          <w:rFonts w:hint="eastAsia"/>
          <w:sz w:val="24"/>
          <w:lang w:val="en-US" w:eastAsia="zh-CN"/>
        </w:rPr>
        <w:t>9.6%</w:t>
      </w:r>
    </w:p>
    <w:p w14:paraId="0E1B37B4">
      <w:pPr>
        <w:rPr>
          <w:u w:val="single"/>
        </w:rPr>
      </w:pPr>
    </w:p>
    <w:p w14:paraId="7008934C">
      <w:pPr>
        <w:rPr>
          <w:u w:val="single"/>
        </w:rPr>
      </w:pPr>
    </w:p>
    <w:p w14:paraId="0B68F83E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799E2774">
      <w:pPr>
        <w:rPr>
          <w:rFonts w:asciiTheme="minorEastAsia" w:hAnsiTheme="minorEastAsia"/>
          <w:sz w:val="24"/>
          <w:szCs w:val="21"/>
        </w:rPr>
      </w:pPr>
      <w:r>
        <w:tab/>
      </w:r>
      <w:r>
        <w:rPr>
          <w:rFonts w:hint="eastAsia" w:asciiTheme="minorEastAsia" w:hAnsiTheme="minorEastAsia"/>
          <w:sz w:val="24"/>
          <w:szCs w:val="21"/>
        </w:rPr>
        <w:t>经验算</w:t>
      </w:r>
      <w:r>
        <w:rPr>
          <w:rFonts w:asciiTheme="minorEastAsia" w:hAnsiTheme="minorEastAsia"/>
          <w:sz w:val="24"/>
          <w:szCs w:val="21"/>
        </w:rPr>
        <w:t>，</w:t>
      </w:r>
      <w:r>
        <w:rPr>
          <w:rFonts w:hint="eastAsia" w:asciiTheme="minorEastAsia" w:hAnsiTheme="minorEastAsia"/>
          <w:sz w:val="24"/>
          <w:szCs w:val="21"/>
        </w:rPr>
        <w:t>公共建筑地面停车占地面积与其总建设用地面积的比率为    ，</w:t>
      </w:r>
      <w:r>
        <w:rPr>
          <w:rFonts w:asciiTheme="minorEastAsia" w:hAnsiTheme="minorEastAsia"/>
          <w:sz w:val="24"/>
          <w:szCs w:val="21"/>
        </w:rPr>
        <w:t>满足</w:t>
      </w:r>
      <w:r>
        <w:rPr>
          <w:rFonts w:hint="eastAsia" w:asciiTheme="minorEastAsia" w:hAnsiTheme="minorEastAsia"/>
          <w:sz w:val="24"/>
          <w:szCs w:val="21"/>
        </w:rPr>
        <w:t>/不满足</w:t>
      </w:r>
      <w:r>
        <w:rPr>
          <w:rFonts w:asciiTheme="minorEastAsia" w:hAnsiTheme="minorEastAsia"/>
          <w:sz w:val="24"/>
          <w:szCs w:val="21"/>
        </w:rPr>
        <w:t>规范要求，可得</w:t>
      </w:r>
      <w:r>
        <w:rPr>
          <w:rFonts w:hint="eastAsia" w:asciiTheme="minorEastAsia" w:hAnsiTheme="minorEastAsia"/>
          <w:sz w:val="24"/>
          <w:szCs w:val="21"/>
        </w:rPr>
        <w:t>8分</w:t>
      </w:r>
      <w:r>
        <w:rPr>
          <w:rFonts w:asciiTheme="minorEastAsia" w:hAnsiTheme="minorEastAsia"/>
          <w:sz w:val="24"/>
          <w:szCs w:val="21"/>
        </w:rPr>
        <w:t>。</w:t>
      </w:r>
    </w:p>
    <w:p w14:paraId="3DE52DC6">
      <w:pPr>
        <w:rPr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3B2C32"/>
    <w:rsid w:val="00427EC4"/>
    <w:rsid w:val="00625AA6"/>
    <w:rsid w:val="00D221CD"/>
    <w:rsid w:val="00D35CD4"/>
    <w:rsid w:val="00E94094"/>
    <w:rsid w:val="5006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1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副标题 字符"/>
    <w:basedOn w:val="9"/>
    <w:link w:val="6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2">
    <w:name w:val="Subtle Emphasis"/>
    <w:basedOn w:val="9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3">
    <w:name w:val="标题 字符"/>
    <w:basedOn w:val="9"/>
    <w:link w:val="7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4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6">
    <w:name w:val="页眉 字符"/>
    <w:basedOn w:val="9"/>
    <w:link w:val="5"/>
    <w:uiPriority w:val="99"/>
    <w:rPr>
      <w:sz w:val="18"/>
      <w:szCs w:val="18"/>
    </w:rPr>
  </w:style>
  <w:style w:type="character" w:customStyle="1" w:styleId="17">
    <w:name w:val="页脚 字符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292</Words>
  <Characters>334</Characters>
  <Lines>3</Lines>
  <Paragraphs>1</Paragraphs>
  <TotalTime>8</TotalTime>
  <ScaleCrop>false</ScaleCrop>
  <LinksUpToDate>false</LinksUpToDate>
  <CharactersWithSpaces>408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陈科旭</cp:lastModifiedBy>
  <dcterms:modified xsi:type="dcterms:W3CDTF">2026-03-27T13:52:43Z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eyJoZGlkIjoiNjlkZTRiODlhYTVhN2ZmYzFjYTc4YjNmOGVjNmYxODMiLCJ1c2VySWQiOiIxNTIxNDM1MjMzIn0=</vt:lpwstr>
  </property>
  <property fmtid="{D5CDD505-2E9C-101B-9397-08002B2CF9AE}" pid="3" name="KSOProductBuildVer">
    <vt:lpwstr>2052-12.1.0.19302</vt:lpwstr>
  </property>
  <property fmtid="{D5CDD505-2E9C-101B-9397-08002B2CF9AE}" pid="4" name="ICV">
    <vt:lpwstr>FD54DACD456544CDBCFA5F899BA10AE0_12</vt:lpwstr>
  </property>
</Properties>
</file>