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绿脉中枢-基于碳中和目标的综合服务楼绿色设计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428000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280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报告日期：2026年3月15日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项目名称：绿脉中枢-基于碳中和目标的综合服务楼绿色设计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围护结构提高50%或负荷降低50%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全寿命期单位建筑面积碳排放强为10kgCO2/（m2·a）减碳率10%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1100.0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