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碳汇织布 旧厂焕新 可再生能源耦合下机车厂遗存绿建集市营造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围护结构提高0.00%或负荷降低7.41%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27.8%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33.10%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1848.10%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符合国家现行相关节能设计标准的规定，且外窗洞口与外窗本体的结合部位应严密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82.0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96.0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166.0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95.0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总得分：Q=（Q0+Q1+Q2+Q3+Q4+Q5+QA）/10=102.9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09997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099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5165596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5165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采用基于性能的抗震设计并合理提高建筑的抗震性能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采取保障人员安全的防护措施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采用具有安全防护功能的产品或配件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室内外地面或路面设置防滑措施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采取人车分流措施，且步行和自行车交通系统有充足照明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采取提升建筑适变性的措施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11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采取提升建筑部品部件耐久性的措施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提高建筑结构材料的耐久性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合理采用耐久性好、易维护的装饰装修建筑材料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82.0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