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结构计算及围护结构专项报告书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一、报告编制总说明</w:t>
      </w:r>
      <w:bookmarkEnd w:id="0"/>
    </w:p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项目基础参</w:t>
      </w:r>
      <w:bookmarkStart w:id="25" w:name="_GoBack"/>
      <w:bookmarkEnd w:id="25"/>
      <w:r>
        <w:rPr>
          <w:rFonts w:ascii="Arial" w:hAnsi="Arial" w:eastAsia="等线" w:cs="Arial"/>
          <w:b/>
          <w:sz w:val="32"/>
        </w:rPr>
        <w:t>数</w:t>
      </w:r>
      <w:bookmarkEnd w:id="1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建筑层数</w:t>
      </w:r>
      <w:r>
        <w:rPr>
          <w:rFonts w:ascii="Arial" w:hAnsi="Arial" w:eastAsia="等线" w:cs="Arial"/>
          <w:sz w:val="22"/>
        </w:rPr>
        <w:t>：地上3层，局部设备夹层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建筑高度</w:t>
      </w:r>
      <w:r>
        <w:rPr>
          <w:rFonts w:ascii="Arial" w:hAnsi="Arial" w:eastAsia="等线" w:cs="Arial"/>
          <w:sz w:val="22"/>
        </w:rPr>
        <w:t>：15.3m（室外地坪至屋面面层）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结构形式</w:t>
      </w:r>
      <w:r>
        <w:rPr>
          <w:rFonts w:ascii="Arial" w:hAnsi="Arial" w:eastAsia="等线" w:cs="Arial"/>
          <w:sz w:val="22"/>
        </w:rPr>
        <w:t>：钢筋混凝土框架结构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设计使用年限</w:t>
      </w:r>
      <w:r>
        <w:rPr>
          <w:rFonts w:ascii="Arial" w:hAnsi="Arial" w:eastAsia="等线" w:cs="Arial"/>
          <w:sz w:val="22"/>
        </w:rPr>
        <w:t>：50年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安全等级</w:t>
      </w:r>
      <w:r>
        <w:rPr>
          <w:rFonts w:ascii="Arial" w:hAnsi="Arial" w:eastAsia="等线" w:cs="Arial"/>
          <w:sz w:val="22"/>
        </w:rPr>
        <w:t>：二级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抗震设防烈度</w:t>
      </w:r>
      <w:r>
        <w:rPr>
          <w:rFonts w:ascii="Arial" w:hAnsi="Arial" w:eastAsia="等线" w:cs="Arial"/>
          <w:sz w:val="22"/>
        </w:rPr>
        <w:t>：6度，设计基本地震加速度0.05g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耐火等级</w:t>
      </w:r>
      <w:r>
        <w:rPr>
          <w:rFonts w:ascii="Arial" w:hAnsi="Arial" w:eastAsia="等线" w:cs="Arial"/>
          <w:sz w:val="22"/>
        </w:rPr>
        <w:t>：二级</w:t>
      </w:r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编制依据</w:t>
      </w:r>
      <w:bookmarkEnd w:id="2"/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《建筑结构可靠度设计统一标准》（GB 50068-2018）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《建筑结构荷载规范》（GB 50009-2012）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《混凝土结构设计规范》（GB 50010-2010）（2015版）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《建筑抗震设计规范》（GB 50011-2010）（2016版）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《绿色建筑评价标准》（GB/T 50378-2019）</w:t>
      </w:r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《公共建筑节能设计标准》（GB 50189-2015）</w:t>
      </w:r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《建筑外墙外保温工程技术规程》（JGJ 144-2019）</w:t>
      </w:r>
    </w:p>
    <w:p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项目地质勘察报告、建筑施工图设计文件</w:t>
      </w:r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1.3 设计核心目标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构体系满足承载力、稳定性、耐久性要求，适配博物馆展览、藏品存放、公共集散等使用功能；外墙、屋面、门窗、外保温等围护结构满足安全、耐久、节能、防护多重要求，契合绿色建筑节能与安全管控标准，抵御豫南地区风雨、温差、冻融等自然侵蚀，保障建筑全生命周期使用安全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二、建筑结构设计与承载力验算</w:t>
      </w:r>
      <w:bookmarkEnd w:id="4"/>
    </w:p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2.1 结构体系选型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本项目为多层公共博物馆建筑，采用</w:t>
      </w:r>
      <w:r>
        <w:rPr>
          <w:rFonts w:ascii="Arial" w:hAnsi="Arial" w:eastAsia="等线" w:cs="Arial"/>
          <w:b/>
          <w:sz w:val="22"/>
        </w:rPr>
        <w:t>钢筋混凝土现浇框架结构</w:t>
      </w:r>
      <w:r>
        <w:rPr>
          <w:rFonts w:ascii="Arial" w:hAnsi="Arial" w:eastAsia="等线" w:cs="Arial"/>
          <w:sz w:val="22"/>
        </w:rPr>
        <w:t>，框架柱网规整，主跨尺寸6.0m×7.5m、7.5m×7.5m，适配博物馆大空间展览、灵活分隔的功能需求；楼屋面采用现浇钢筋混凝土双向板，局部大跨度展厅采用密肋楼盖，结构整体性强、抗震性能好，竖向构件与水平构件协同受力，满足建筑竖向荷载与水平荷载传导要求。</w:t>
      </w:r>
    </w:p>
    <w:p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2.2 设计荷载取值（贴合实际使用功能）</w:t>
      </w:r>
      <w:bookmarkEnd w:id="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荷载类型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标准值（kN/㎡）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适用部位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楼面活荷载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展厅、公共走廊、观众服务区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楼面活荷载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办公区、设备机房、藏品库区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屋面活荷载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上人屋面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雪荷载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0.45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屋面（驻马店地区基本雪压）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风荷载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围护结构、主体结构（驻马店地区基本风压）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恒荷载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4.5~6.0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楼屋面（含面层、吊顶、保温）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2.3 结构构件承载力验算</w:t>
      </w:r>
      <w:bookmarkEnd w:id="7"/>
    </w:p>
    <w:p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2.3.1 混凝土材料选型</w:t>
      </w:r>
      <w:bookmarkEnd w:id="8"/>
    </w:p>
    <w:p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框架柱、框架梁：混凝土强度等级C30（轴心抗压强度</w:t>
      </w:r>
      <m:oMath>
        <m:sSub>
          <m:sSubPr/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=14.3N/m</m:t>
        </m:r>
        <m:sSup>
          <m:sSupPr/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" w:hAnsi="Arial" w:eastAsia="等线" w:cs="Arial"/>
          <w:sz w:val="22"/>
        </w:rPr>
        <w:t>，轴心抗拉强度</w:t>
      </w:r>
      <m:oMath>
        <m:sSub>
          <m:sSubPr/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=1.43N/m</m:t>
        </m:r>
        <m:sSup>
          <m:sSupPr/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" w:hAnsi="Arial" w:eastAsia="等线" w:cs="Arial"/>
          <w:sz w:val="22"/>
        </w:rPr>
        <w:t>）</w:t>
      </w:r>
    </w:p>
    <w:p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楼板、构造构件：混凝土强度等级C25</w:t>
      </w:r>
    </w:p>
    <w:p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受力钢筋：HRB400E级抗震钢筋，箍筋：HPB300级钢筋</w:t>
      </w:r>
    </w:p>
    <w:p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2.3.2 关键构件验算结果</w:t>
      </w:r>
      <w:bookmarkEnd w:id="9"/>
    </w:p>
    <w:p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框架柱</w:t>
      </w:r>
      <w:r>
        <w:rPr>
          <w:rFonts w:ascii="Arial" w:hAnsi="Arial" w:eastAsia="等线" w:cs="Arial"/>
          <w:sz w:val="22"/>
        </w:rPr>
        <w:t>：最大轴压比0.62（小于规范限值0.85），配筋率1.2%，满足竖向承载力、抗震延性要求；</w:t>
      </w:r>
    </w:p>
    <w:p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框架梁</w:t>
      </w:r>
      <w:r>
        <w:rPr>
          <w:rFonts w:ascii="Arial" w:hAnsi="Arial" w:eastAsia="等线" w:cs="Arial"/>
          <w:sz w:val="22"/>
        </w:rPr>
        <w:t>：跨中最大正弯矩配筋率0.8%，支座负弯矩配筋率1.1%，均小于规范最大配筋率2.5%，斜截面抗剪承载力满足要求；</w:t>
      </w:r>
    </w:p>
    <w:p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楼板</w:t>
      </w:r>
      <w:r>
        <w:rPr>
          <w:rFonts w:ascii="Arial" w:hAnsi="Arial" w:eastAsia="等线" w:cs="Arial"/>
          <w:sz w:val="22"/>
        </w:rPr>
        <w:t>：板厚120mm~150mm，双向配筋，挠度验算最大值L/300（小于规范限值L/250），裂缝宽度0.2mm（小于规范限值0.3mm）；</w:t>
      </w:r>
    </w:p>
    <w:p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基础</w:t>
      </w:r>
      <w:r>
        <w:rPr>
          <w:rFonts w:ascii="Arial" w:hAnsi="Arial" w:eastAsia="等线" w:cs="Arial"/>
          <w:sz w:val="22"/>
        </w:rPr>
        <w:t>：采用柱下独立基础，地基承载力特征值</w:t>
      </w:r>
      <m:oMath>
        <m:sSub>
          <m:sSubPr/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=220kPa</m:t>
        </m:r>
      </m:oMath>
      <w:r>
        <w:rPr>
          <w:rFonts w:ascii="Arial" w:hAnsi="Arial" w:eastAsia="等线" w:cs="Arial"/>
          <w:sz w:val="22"/>
        </w:rPr>
        <w:t>，基础底面压力平均值185kPa（小于地基承载力），沉降量最大值8mm（均匀沉降，无不均匀沉降风险）。</w:t>
      </w:r>
    </w:p>
    <w:p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2.4 结构功能适配性说明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构布局充分考虑博物馆藏品库区重载、展厅大空间、公共区域人流密集的功能特点，框架结构可灵活调整内部隔断，适配后期展陈布局优化；结构刚度、变形均满足规范要求，无振动、沉降隐患，保障藏品存放安全与观众使用安全，完全满足建筑使用功能需求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1" w:name="heading_11"/>
      <w:r>
        <w:rPr>
          <w:rFonts w:ascii="Arial" w:hAnsi="Arial" w:eastAsia="等线" w:cs="Arial"/>
          <w:b/>
          <w:sz w:val="36"/>
        </w:rPr>
        <w:t>三、建筑围护结构详细构造做法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章节针对外墙、屋面、外窗、外保温等围护结构，明确分层构造、材料参数、厚度及防护措施，满足节能、安全、耐久、防水、抗风、防渗漏要求，适配豫南温带季风气候（夏季炎热多雨、冬季寒冷干燥）特点。</w:t>
      </w:r>
    </w:p>
    <w:p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3.1 外墙围护结构（非承重外墙+外保温体系）</w:t>
      </w:r>
      <w:bookmarkEnd w:id="12"/>
    </w:p>
    <w:p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3.1.1 外墙整体构造（由外至内）</w:t>
      </w:r>
      <w:bookmarkEnd w:id="13"/>
    </w:p>
    <w:p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外墙饰面层</w:t>
      </w:r>
      <w:r>
        <w:rPr>
          <w:rFonts w:ascii="Arial" w:hAnsi="Arial" w:eastAsia="等线" w:cs="Arial"/>
          <w:sz w:val="22"/>
        </w:rPr>
        <w:t>：6mm厚浅灰色真石漆（耐候、防水、抗冻融，适配绿色建筑外观要求）</w:t>
      </w:r>
    </w:p>
    <w:p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抗裂防护层</w:t>
      </w:r>
      <w:r>
        <w:rPr>
          <w:rFonts w:ascii="Arial" w:hAnsi="Arial" w:eastAsia="等线" w:cs="Arial"/>
          <w:sz w:val="22"/>
        </w:rPr>
        <w:t>：5mm厚抗裂砂浆，压入耐碱玻纤网格布（增强面层整体性，防止开裂）</w:t>
      </w:r>
    </w:p>
    <w:p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外保温层</w:t>
      </w:r>
      <w:r>
        <w:rPr>
          <w:rFonts w:ascii="Arial" w:hAnsi="Arial" w:eastAsia="等线" w:cs="Arial"/>
          <w:sz w:val="22"/>
        </w:rPr>
        <w:t>：70mm厚模塑聚苯板（EPS），导热系数≤0.039W/(m·K)，燃烧性能B1级（满足节能与防火要求）</w:t>
      </w:r>
    </w:p>
    <w:p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粘结层</w:t>
      </w:r>
      <w:r>
        <w:rPr>
          <w:rFonts w:ascii="Arial" w:hAnsi="Arial" w:eastAsia="等线" w:cs="Arial"/>
          <w:sz w:val="22"/>
        </w:rPr>
        <w:t>：专用粘结砂浆，粘结面积≥50%，搭配机械锚固件固定（每㎡≥6个）</w:t>
      </w:r>
    </w:p>
    <w:p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墙体基层</w:t>
      </w:r>
      <w:r>
        <w:rPr>
          <w:rFonts w:ascii="Arial" w:hAnsi="Arial" w:eastAsia="等线" w:cs="Arial"/>
          <w:sz w:val="22"/>
        </w:rPr>
        <w:t>：200mm厚加气混凝土砌块（MU5.0，专用砌筑砂浆砌筑，隔声、保温、轻质）</w:t>
      </w:r>
    </w:p>
    <w:p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内墙面层</w:t>
      </w:r>
      <w:r>
        <w:rPr>
          <w:rFonts w:ascii="Arial" w:hAnsi="Arial" w:eastAsia="等线" w:cs="Arial"/>
          <w:sz w:val="22"/>
        </w:rPr>
        <w:t>：20mm厚水泥砂浆找平+内墙涂料</w:t>
      </w:r>
    </w:p>
    <w:p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3.1.2 外墙性能指标</w:t>
      </w:r>
      <w:bookmarkEnd w:id="14"/>
    </w:p>
    <w:p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外墙传热系数K≤0.60W/(㎡·K)（满足公共建筑节能限值）</w:t>
      </w:r>
    </w:p>
    <w:p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抗风荷载等级：0.60kN/㎡（抵御当地最大风力）</w:t>
      </w:r>
    </w:p>
    <w:p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防水等级：二级，无渗漏风险；冻融循环≥50次，耐久性达标</w:t>
      </w:r>
    </w:p>
    <w:p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3.2 屋面围护结构（上人保温屋面）</w:t>
      </w:r>
      <w:bookmarkEnd w:id="15"/>
    </w:p>
    <w:p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3.2.1 屋面分层构造（由上至下）</w:t>
      </w:r>
      <w:bookmarkEnd w:id="16"/>
    </w:p>
    <w:p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屋面保护层</w:t>
      </w:r>
      <w:r>
        <w:rPr>
          <w:rFonts w:ascii="Arial" w:hAnsi="Arial" w:eastAsia="等线" w:cs="Arial"/>
          <w:sz w:val="22"/>
        </w:rPr>
        <w:t>：40mm厚C20细石混凝土，内配Φ4@150双向钢筋（防开裂、抗踩踏）</w:t>
      </w:r>
    </w:p>
    <w:p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隔离层</w:t>
      </w:r>
      <w:r>
        <w:rPr>
          <w:rFonts w:ascii="Arial" w:hAnsi="Arial" w:eastAsia="等线" w:cs="Arial"/>
          <w:sz w:val="22"/>
        </w:rPr>
        <w:t>：0.3mm厚聚乙烯膜</w:t>
      </w:r>
    </w:p>
    <w:p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防水层</w:t>
      </w:r>
      <w:r>
        <w:rPr>
          <w:rFonts w:ascii="Arial" w:hAnsi="Arial" w:eastAsia="等线" w:cs="Arial"/>
          <w:sz w:val="22"/>
        </w:rPr>
        <w:t>：3mm厚SBS改性沥青防水卷材（Ⅱ型），热熔施工，防水等级二级</w:t>
      </w:r>
    </w:p>
    <w:p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找平层</w:t>
      </w:r>
      <w:r>
        <w:rPr>
          <w:rFonts w:ascii="Arial" w:hAnsi="Arial" w:eastAsia="等线" w:cs="Arial"/>
          <w:sz w:val="22"/>
        </w:rPr>
        <w:t>：20mm厚水泥砂浆</w:t>
      </w:r>
    </w:p>
    <w:p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保温隔热层</w:t>
      </w:r>
      <w:r>
        <w:rPr>
          <w:rFonts w:ascii="Arial" w:hAnsi="Arial" w:eastAsia="等线" w:cs="Arial"/>
          <w:sz w:val="22"/>
        </w:rPr>
        <w:t>：90mm厚挤塑聚苯板（XPS），导热系数≤0.030W/(m·K)，抗压强度≥250kPa</w:t>
      </w:r>
    </w:p>
    <w:p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找坡层</w:t>
      </w:r>
      <w:r>
        <w:rPr>
          <w:rFonts w:ascii="Arial" w:hAnsi="Arial" w:eastAsia="等线" w:cs="Arial"/>
          <w:sz w:val="22"/>
        </w:rPr>
        <w:t>：最薄30mm厚LC5.0轻集料混凝土（2%坡度排水）</w:t>
      </w:r>
    </w:p>
    <w:p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结构基层</w:t>
      </w:r>
      <w:r>
        <w:rPr>
          <w:rFonts w:ascii="Arial" w:hAnsi="Arial" w:eastAsia="等线" w:cs="Arial"/>
          <w:sz w:val="22"/>
        </w:rPr>
        <w:t>：120mm厚现浇钢筋混凝土屋面板</w:t>
      </w:r>
    </w:p>
    <w:p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3.2.2 屋面性能指标</w:t>
      </w:r>
      <w:bookmarkEnd w:id="17"/>
    </w:p>
    <w:p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屋面传热系数K≤0.55W/(㎡·K)</w:t>
      </w:r>
    </w:p>
    <w:p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抗压承载力：满足上人、设备放置要求</w:t>
      </w:r>
    </w:p>
    <w:p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防水耐久年限：≥15年，抗渗等级P6，无雨水渗漏隐患</w:t>
      </w:r>
    </w:p>
    <w:p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3.3 外门窗围护结构</w:t>
      </w:r>
      <w:bookmarkEnd w:id="18"/>
    </w:p>
    <w:p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3.3.1 外窗构造</w:t>
      </w:r>
      <w:bookmarkEnd w:id="19"/>
    </w:p>
    <w:p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型材：60系列断热铝合金型材（隔热条宽度≥24mm）</w:t>
      </w:r>
    </w:p>
    <w:p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玻璃：5+12A+5+12A+5三玻两腔中空Low-E玻璃（遮阳系数SC≤0.5，可见光透射比≥0.6）</w:t>
      </w:r>
    </w:p>
    <w:p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密封：三元乙丙橡胶密封条，三道密封设计</w:t>
      </w:r>
    </w:p>
    <w:p>
      <w:pPr>
        <w:spacing w:before="300" w:after="120" w:line="288" w:lineRule="auto"/>
        <w:ind w:left="0"/>
        <w:jc w:val="left"/>
        <w:outlineLvl w:val="2"/>
      </w:pPr>
      <w:bookmarkStart w:id="20" w:name="heading_20"/>
      <w:r>
        <w:rPr>
          <w:rFonts w:ascii="Arial" w:hAnsi="Arial" w:eastAsia="等线" w:cs="Arial"/>
          <w:b/>
          <w:sz w:val="30"/>
        </w:rPr>
        <w:t>3.3.2 外门构造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主入口采用断热铝合金框玻璃门，搭配闭门器、密封条；设备间采用钢制保温防盗门，内部填充岩棉保温层。</w:t>
      </w:r>
    </w:p>
    <w:p>
      <w:pPr>
        <w:spacing w:before="300" w:after="120" w:line="288" w:lineRule="auto"/>
        <w:ind w:left="0"/>
        <w:jc w:val="left"/>
        <w:outlineLvl w:val="2"/>
      </w:pPr>
      <w:bookmarkStart w:id="21" w:name="heading_21"/>
      <w:r>
        <w:rPr>
          <w:rFonts w:ascii="Arial" w:hAnsi="Arial" w:eastAsia="等线" w:cs="Arial"/>
          <w:b/>
          <w:sz w:val="30"/>
        </w:rPr>
        <w:t>3.3.3 门窗性能指标</w:t>
      </w:r>
      <w:bookmarkEnd w:id="21"/>
    </w:p>
    <w:p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外窗传热系数K≤2.4W/(㎡·K)</w:t>
      </w:r>
    </w:p>
    <w:p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气密性等级：6级，水密性等级：4级，抗风压等级：5级</w:t>
      </w:r>
    </w:p>
    <w:p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隔声性能：≥30dB，减少室外噪音干扰</w:t>
      </w:r>
    </w:p>
    <w:p>
      <w:pPr>
        <w:spacing w:before="320" w:after="120" w:line="288" w:lineRule="auto"/>
        <w:ind w:left="0"/>
        <w:jc w:val="left"/>
        <w:outlineLvl w:val="1"/>
      </w:pPr>
      <w:bookmarkStart w:id="22" w:name="heading_22"/>
      <w:r>
        <w:rPr>
          <w:rFonts w:ascii="Arial" w:hAnsi="Arial" w:eastAsia="等线" w:cs="Arial"/>
          <w:b/>
          <w:sz w:val="32"/>
        </w:rPr>
        <w:t>3.4 围护结构安全与耐久防护措施</w:t>
      </w:r>
      <w:bookmarkEnd w:id="22"/>
    </w:p>
    <w:p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保温层固定</w:t>
      </w:r>
      <w:r>
        <w:rPr>
          <w:rFonts w:ascii="Arial" w:hAnsi="Arial" w:eastAsia="等线" w:cs="Arial"/>
          <w:sz w:val="22"/>
        </w:rPr>
        <w:t>：外保温采用粘结+锚栓双重固定，防止脱落，抗震、抗风性能达标；</w:t>
      </w:r>
    </w:p>
    <w:p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防开裂措施</w:t>
      </w:r>
      <w:r>
        <w:rPr>
          <w:rFonts w:ascii="Arial" w:hAnsi="Arial" w:eastAsia="等线" w:cs="Arial"/>
          <w:sz w:val="22"/>
        </w:rPr>
        <w:t>：外墙、屋面均设置抗裂层、伸缩缝，应对温度变形，避免面层开裂；</w:t>
      </w:r>
    </w:p>
    <w:p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防水防护</w:t>
      </w:r>
      <w:r>
        <w:rPr>
          <w:rFonts w:ascii="Arial" w:hAnsi="Arial" w:eastAsia="等线" w:cs="Arial"/>
          <w:sz w:val="22"/>
        </w:rPr>
        <w:t>：阴阳角、穿墙管、门窗洞口等节点做防水加强处理，杜绝渗漏隐患；</w:t>
      </w:r>
    </w:p>
    <w:p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耐候处理</w:t>
      </w:r>
      <w:r>
        <w:rPr>
          <w:rFonts w:ascii="Arial" w:hAnsi="Arial" w:eastAsia="等线" w:cs="Arial"/>
          <w:sz w:val="22"/>
        </w:rPr>
        <w:t>：所有外露材料均选用耐老化、抗冻融、耐腐蚀材质，适配豫南气候，延长围护结构使用寿命；</w:t>
      </w:r>
    </w:p>
    <w:p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防火防护</w:t>
      </w:r>
      <w:r>
        <w:rPr>
          <w:rFonts w:ascii="Arial" w:hAnsi="Arial" w:eastAsia="等线" w:cs="Arial"/>
          <w:sz w:val="22"/>
        </w:rPr>
        <w:t>：保温材料选用B1级难燃材料，每层设置防火隔离带，满足建筑防火安全要求。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23" w:name="heading_23"/>
      <w:r>
        <w:rPr>
          <w:rFonts w:ascii="Arial" w:hAnsi="Arial" w:eastAsia="等线" w:cs="Arial"/>
          <w:b/>
          <w:sz w:val="36"/>
        </w:rPr>
        <w:t>四、综合结论</w:t>
      </w:r>
      <w:bookmarkEnd w:id="23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结构与围护结构合规性判定</w:t>
            </w:r>
          </w:p>
          <w:p>
            <w:pPr>
              <w:numPr>
                <w:ilvl w:val="0"/>
                <w:numId w:val="57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本项目钢筋混凝土框架结构</w:t>
            </w:r>
            <w:r>
              <w:rPr>
                <w:rFonts w:ascii="Arial" w:hAnsi="Arial" w:eastAsia="等线" w:cs="Arial"/>
                <w:b/>
                <w:sz w:val="22"/>
              </w:rPr>
              <w:t>承载力、稳定性、抗震性能</w:t>
            </w:r>
            <w:r>
              <w:rPr>
                <w:rFonts w:ascii="Arial" w:hAnsi="Arial" w:eastAsia="等线" w:cs="Arial"/>
                <w:sz w:val="22"/>
              </w:rPr>
              <w:t>均满足规范要求，完全适配博物馆展览、藏品存放、公共集散等使用功能，结构安全可靠、耐久达标；</w:t>
            </w:r>
          </w:p>
          <w:p>
            <w:pPr>
              <w:numPr>
                <w:ilvl w:val="0"/>
                <w:numId w:val="58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外墙、屋面、门窗、外保温等围护结构构造做法完善，</w:t>
            </w:r>
            <w:r>
              <w:rPr>
                <w:rFonts w:ascii="Arial" w:hAnsi="Arial" w:eastAsia="等线" w:cs="Arial"/>
                <w:b/>
                <w:sz w:val="22"/>
              </w:rPr>
              <w:t>安全、耐久、节能、防护</w:t>
            </w:r>
            <w:r>
              <w:rPr>
                <w:rFonts w:ascii="Arial" w:hAnsi="Arial" w:eastAsia="等线" w:cs="Arial"/>
                <w:sz w:val="22"/>
              </w:rPr>
              <w:t>性能均满足《绿色建筑评价标准》及公共建筑设计规范要求，可有效抵御自然侵蚀，保障建筑全生命周期使用安全；</w:t>
            </w:r>
          </w:p>
          <w:p>
            <w:pPr>
              <w:numPr>
                <w:ilvl w:val="0"/>
                <w:numId w:val="59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本报告数据真实、构造清晰，符合绿色建筑评价系统对结构及围护结构的审核要求。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24" w:name="heading_24"/>
      <w:bookmarkEnd w:id="24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BB64CFA9"/>
    <w:multiLevelType w:val="singleLevel"/>
    <w:tmpl w:val="BB64CFA9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2">
    <w:nsid w:val="BE923771"/>
    <w:multiLevelType w:val="singleLevel"/>
    <w:tmpl w:val="BE923771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D7D140E4"/>
    <w:multiLevelType w:val="singleLevel"/>
    <w:tmpl w:val="D7D140E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E093A4B0"/>
    <w:multiLevelType w:val="singleLevel"/>
    <w:tmpl w:val="E093A4B0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0">
    <w:nsid w:val="F0E89278"/>
    <w:multiLevelType w:val="singleLevel"/>
    <w:tmpl w:val="F0E8927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F7735DC9"/>
    <w:multiLevelType w:val="singleLevel"/>
    <w:tmpl w:val="F7735DC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3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0709FD3E"/>
    <w:multiLevelType w:val="singleLevel"/>
    <w:tmpl w:val="0709FD3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0CEF100B"/>
    <w:multiLevelType w:val="singleLevel"/>
    <w:tmpl w:val="0CEF100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1C257C7B"/>
    <w:multiLevelType w:val="singleLevel"/>
    <w:tmpl w:val="1C257C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23E97754"/>
    <w:multiLevelType w:val="singleLevel"/>
    <w:tmpl w:val="23E977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30FC5B15"/>
    <w:multiLevelType w:val="singleLevel"/>
    <w:tmpl w:val="30FC5B1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7">
    <w:nsid w:val="322D85CA"/>
    <w:multiLevelType w:val="singleLevel"/>
    <w:tmpl w:val="322D85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32A7AF2D"/>
    <w:multiLevelType w:val="singleLevel"/>
    <w:tmpl w:val="32A7AF2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39A0D9AC"/>
    <w:multiLevelType w:val="singleLevel"/>
    <w:tmpl w:val="39A0D9AC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0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4C3D7A74"/>
    <w:multiLevelType w:val="singleLevel"/>
    <w:tmpl w:val="4C3D7A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4D94DA66"/>
    <w:multiLevelType w:val="singleLevel"/>
    <w:tmpl w:val="4D94DA6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5">
    <w:nsid w:val="58765686"/>
    <w:multiLevelType w:val="singleLevel"/>
    <w:tmpl w:val="58765686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46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9">
    <w:nsid w:val="5FFFB1A7"/>
    <w:multiLevelType w:val="singleLevel"/>
    <w:tmpl w:val="5FFFB1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0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1">
    <w:nsid w:val="629F7852"/>
    <w:multiLevelType w:val="singleLevel"/>
    <w:tmpl w:val="629F785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2">
    <w:nsid w:val="65CD0074"/>
    <w:multiLevelType w:val="singleLevel"/>
    <w:tmpl w:val="65CD00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3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4">
    <w:nsid w:val="74C28B35"/>
    <w:multiLevelType w:val="singleLevel"/>
    <w:tmpl w:val="74C28B3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5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6">
    <w:nsid w:val="79AA4FA4"/>
    <w:multiLevelType w:val="singleLevel"/>
    <w:tmpl w:val="79AA4FA4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57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8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23"/>
  </w:num>
  <w:num w:numId="2">
    <w:abstractNumId w:val="15"/>
  </w:num>
  <w:num w:numId="3">
    <w:abstractNumId w:val="46"/>
  </w:num>
  <w:num w:numId="4">
    <w:abstractNumId w:val="13"/>
  </w:num>
  <w:num w:numId="5">
    <w:abstractNumId w:val="9"/>
  </w:num>
  <w:num w:numId="6">
    <w:abstractNumId w:val="25"/>
  </w:num>
  <w:num w:numId="7">
    <w:abstractNumId w:val="34"/>
  </w:num>
  <w:num w:numId="8">
    <w:abstractNumId w:val="53"/>
  </w:num>
  <w:num w:numId="9">
    <w:abstractNumId w:val="24"/>
  </w:num>
  <w:num w:numId="10">
    <w:abstractNumId w:val="5"/>
  </w:num>
  <w:num w:numId="11">
    <w:abstractNumId w:val="35"/>
  </w:num>
  <w:num w:numId="12">
    <w:abstractNumId w:val="47"/>
  </w:num>
  <w:num w:numId="13">
    <w:abstractNumId w:val="14"/>
  </w:num>
  <w:num w:numId="14">
    <w:abstractNumId w:val="43"/>
  </w:num>
  <w:num w:numId="15">
    <w:abstractNumId w:val="21"/>
  </w:num>
  <w:num w:numId="16">
    <w:abstractNumId w:val="33"/>
  </w:num>
  <w:num w:numId="17">
    <w:abstractNumId w:val="18"/>
  </w:num>
  <w:num w:numId="18">
    <w:abstractNumId w:val="17"/>
  </w:num>
  <w:num w:numId="19">
    <w:abstractNumId w:val="7"/>
  </w:num>
  <w:num w:numId="20">
    <w:abstractNumId w:val="41"/>
  </w:num>
  <w:num w:numId="21">
    <w:abstractNumId w:val="50"/>
  </w:num>
  <w:num w:numId="22">
    <w:abstractNumId w:val="28"/>
  </w:num>
  <w:num w:numId="23">
    <w:abstractNumId w:val="40"/>
  </w:num>
  <w:num w:numId="24">
    <w:abstractNumId w:val="8"/>
  </w:num>
  <w:num w:numId="25">
    <w:abstractNumId w:val="57"/>
  </w:num>
  <w:num w:numId="26">
    <w:abstractNumId w:val="55"/>
  </w:num>
  <w:num w:numId="27">
    <w:abstractNumId w:val="12"/>
  </w:num>
  <w:num w:numId="28">
    <w:abstractNumId w:val="51"/>
  </w:num>
  <w:num w:numId="29">
    <w:abstractNumId w:val="6"/>
  </w:num>
  <w:num w:numId="30">
    <w:abstractNumId w:val="39"/>
  </w:num>
  <w:num w:numId="31">
    <w:abstractNumId w:val="2"/>
  </w:num>
  <w:num w:numId="32">
    <w:abstractNumId w:val="45"/>
  </w:num>
  <w:num w:numId="33">
    <w:abstractNumId w:val="58"/>
  </w:num>
  <w:num w:numId="34">
    <w:abstractNumId w:val="0"/>
  </w:num>
  <w:num w:numId="35">
    <w:abstractNumId w:val="32"/>
  </w:num>
  <w:num w:numId="36">
    <w:abstractNumId w:val="44"/>
  </w:num>
  <w:num w:numId="37">
    <w:abstractNumId w:val="22"/>
  </w:num>
  <w:num w:numId="38">
    <w:abstractNumId w:val="19"/>
  </w:num>
  <w:num w:numId="39">
    <w:abstractNumId w:val="36"/>
  </w:num>
  <w:num w:numId="40">
    <w:abstractNumId w:val="56"/>
  </w:num>
  <w:num w:numId="41">
    <w:abstractNumId w:val="11"/>
  </w:num>
  <w:num w:numId="42">
    <w:abstractNumId w:val="4"/>
  </w:num>
  <w:num w:numId="43">
    <w:abstractNumId w:val="10"/>
  </w:num>
  <w:num w:numId="44">
    <w:abstractNumId w:val="48"/>
  </w:num>
  <w:num w:numId="45">
    <w:abstractNumId w:val="1"/>
  </w:num>
  <w:num w:numId="46">
    <w:abstractNumId w:val="29"/>
  </w:num>
  <w:num w:numId="47">
    <w:abstractNumId w:val="3"/>
  </w:num>
  <w:num w:numId="48">
    <w:abstractNumId w:val="49"/>
  </w:num>
  <w:num w:numId="49">
    <w:abstractNumId w:val="54"/>
  </w:num>
  <w:num w:numId="50">
    <w:abstractNumId w:val="42"/>
  </w:num>
  <w:num w:numId="51">
    <w:abstractNumId w:val="37"/>
  </w:num>
  <w:num w:numId="52">
    <w:abstractNumId w:val="52"/>
  </w:num>
  <w:num w:numId="53">
    <w:abstractNumId w:val="26"/>
  </w:num>
  <w:num w:numId="54">
    <w:abstractNumId w:val="27"/>
  </w:num>
  <w:num w:numId="55">
    <w:abstractNumId w:val="16"/>
  </w:num>
  <w:num w:numId="56">
    <w:abstractNumId w:val="38"/>
  </w:num>
  <w:num w:numId="57">
    <w:abstractNumId w:val="30"/>
  </w:num>
  <w:num w:numId="58">
    <w:abstractNumId w:val="20"/>
  </w:num>
  <w:num w:numId="5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C9B660B"/>
    <w:rsid w:val="0E5033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2026-03-23T04:34:00Z</dcterms:created>
  <dc:creator>Apache POI</dc:creator>
  <cp:lastModifiedBy>hp</cp:lastModifiedBy>
  <dcterms:modified xsi:type="dcterms:W3CDTF">2026-03-23T04:58:11Z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