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480" w:after="480" w:line="288" w:lineRule="auto"/>
        <w:ind w:left="0"/>
      </w:pPr>
      <w:r>
        <w:rPr>
          <w:rFonts w:eastAsia="等线" w:ascii="Arial" w:cs="Arial" w:hAnsi="Arial"/>
          <w:b w:val="true"/>
          <w:sz w:val="52"/>
        </w:rPr>
        <w:t>驻马店博物馆景观专业图纸及设计说明（绿建评价专用，</w:t>
      </w:r>
      <w:r>
        <w:rPr>
          <w:rFonts w:eastAsia="等线" w:ascii="Arial" w:cs="Arial" w:hAnsi="Arial"/>
          <w:b w:val="true"/>
          <w:sz w:val="52"/>
        </w:rPr>
        <w:t>真实数据版）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文档编号：ZMD-BWG-LJ-JL-JGSS-2024022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关联文档：1. 驻马店博物馆绿建评价施工记录及影像资料说明（文档编号：ZMD-BWG-LJ-JL-SGJY-2024020）；2. 驻马店博物馆绿建评价水资源保护方案（文档编号：ZMD-BWG-LJ-JL-SZYB-2024018）；3. 驻马店博物馆室外排水工程竣工验收报告（编号：ZMD-PL-20231122）；4. 驻马店博物馆室外雨水排水平面说明（文档编号：ZMD-BWG-LJ-JL-YSPL-2024021）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填报单位：驻马店博物馆后勤保障部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填报人：张XX（后勤主管），联系电话：1383967XXXX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监督人：李XX（驻马店博物馆后勤保障部负责人），联系电话：1393962XXXX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景观设计单位：驻马店市园林景观工程设计有限公司（资质等级：乙级）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设计负责人：王XX，联系电话：1378336XXXX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填报日期：2024年2月4日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用途：本说明为驻马店博物馆绿建二星级评价“环境与宜居”“资源循环利用”核心指标佐证材料，配套景观专业图纸（含总平面图、绿化配置图、海绵设施布置图等），详细阐述场馆室外景观设计理念、布局规划、植物配置、海绵景观设施、施工参数及绿建适配情况，所有数据均为现场实测、真实可追溯，完全贴合《绿色建筑评价标准》（GB/T 50378-2019）、《河南省绿色建筑评价标准》《城市居住区规划设计标准》（GB 50180-2018）及驻马店市绿建评价、景观设计相关要求，可直接用于绿建评价系统填报，为现场核查提供完整的景观专业佐证依据，助力绿建二星级评价顺利通过。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0" w:id="0"/>
      <w:r>
        <w:rPr>
          <w:rFonts w:eastAsia="等线" w:ascii="Arial" w:cs="Arial" w:hAnsi="Arial"/>
          <w:b w:val="true"/>
          <w:sz w:val="32"/>
        </w:rPr>
        <w:t>一、说明总则</w:t>
      </w:r>
      <w:bookmarkEnd w:id="0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" w:id="1"/>
      <w:r>
        <w:rPr>
          <w:rFonts w:eastAsia="等线" w:ascii="Arial" w:cs="Arial" w:hAnsi="Arial"/>
          <w:b w:val="true"/>
          <w:sz w:val="30"/>
        </w:rPr>
        <w:t>（一）编制依据</w:t>
      </w:r>
      <w:bookmarkEnd w:id="1"/>
    </w:p>
    <w:p>
      <w:pPr>
        <w:numPr>
          <w:numId w:val="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国家相关法规及标准：《中华人民共和国环境保护法》《中华人民共和国城市绿化条例》《绿色建筑评价标准》（GB/T 50378-2019）、《城市居住区规划设计标准》（GB 50180-2018）、《城市绿化工程施工及验收规范》（CJJ/T 82-2012）、《海绵城市建设技术指南》、《建筑与小区雨水控制及利用工程技术规范》（GB 50400-2016）；</w:t>
      </w:r>
    </w:p>
    <w:p>
      <w:pPr>
        <w:numPr>
          <w:numId w:val="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地方相关政策及标准：《河南省绿色建筑评价标准》《驻马店市绿色建筑发展实施办法》《驻马店市城市绿化管理办法》《驻马店市海绵城市建设实施方案》《河南省城市绿化工程施工及验收规范》；</w:t>
      </w:r>
    </w:p>
    <w:p>
      <w:pPr>
        <w:numPr>
          <w:numId w:val="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场馆相关文件：驻马店博物馆景观专业设计图纸（含总平面图、绿化配置图、海绵设施布置图、景观小品设计图等）、景观工程施工承包合同、监理报告、竣工验收报告、现场实测数据、景观运维记录及相关影像资料；</w:t>
      </w:r>
    </w:p>
    <w:p>
      <w:pPr>
        <w:numPr>
          <w:numId w:val="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其他依据：驻马店市气象资料、土壤检测报告、周边市政景观规划文件，结合场馆博物馆文化属性及绿建评价核心指标要求编制。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2" w:id="2"/>
      <w:r>
        <w:rPr>
          <w:rFonts w:eastAsia="等线" w:ascii="Arial" w:cs="Arial" w:hAnsi="Arial"/>
          <w:b w:val="true"/>
          <w:sz w:val="30"/>
        </w:rPr>
        <w:t>（二）核心原则</w:t>
      </w:r>
      <w:bookmarkEnd w:id="2"/>
    </w:p>
    <w:p>
      <w:pPr>
        <w:numPr>
          <w:numId w:val="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真实可核查原则：所有景观设计参数、植物配置数量、设施尺寸、绿化面积等数据均为现场实测，与景观专业图纸、施工记录完全一致，相关数据可通过现场核查、施工记录、影像资料、土壤检测报告交叉印证，无虚假数据；</w:t>
      </w:r>
    </w:p>
    <w:p>
      <w:pPr>
        <w:numPr>
          <w:numId w:val="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绿建适配原则：景观设计深度贴合绿建二星级评价“环境与宜居”“资源循环利用”指标，融合海绵城市理念，突出雨水收集利用、乡土植物应用、生态宜居性，助力绿建相关指标达标；</w:t>
      </w:r>
    </w:p>
    <w:p>
      <w:pPr>
        <w:numPr>
          <w:numId w:val="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文化适配原则：结合驻马店博物馆文化属性（中原文化、天中文化），景观设计融入文化元素，兼顾观赏性与文化性，贴合博物馆公益场馆定位；</w:t>
      </w:r>
    </w:p>
    <w:p>
      <w:pPr>
        <w:numPr>
          <w:numId w:val="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合规规范原则：景观设计、施工、运维均符合国家及地方绿化、景观相关标准，植物配置合理、设施完好，满足场馆室外景观生态、环保、宜居要求；</w:t>
      </w:r>
    </w:p>
    <w:p>
      <w:pPr>
        <w:numPr>
          <w:numId w:val="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衔接一致原则：本说明数据与场馆雨水排水平面说明、绿建施工记录、水资源保护方案等其他佐证材料数据完全一致，形成完整的绿建佐证链条，适配绿建评价系统填报。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3" w:id="3"/>
      <w:r>
        <w:rPr>
          <w:rFonts w:eastAsia="等线" w:ascii="Arial" w:cs="Arial" w:hAnsi="Arial"/>
          <w:b w:val="true"/>
          <w:sz w:val="30"/>
        </w:rPr>
        <w:t>（三）适用范围</w:t>
      </w:r>
      <w:bookmarkEnd w:id="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说明及配套景观专业图纸，适用于驻马店博物馆室外所有景观区域的设计、施工、运维及绿建评价佐证，涵盖场馆室外广场景观、绿化区域、海绵景观设施、景观小品、道路景观、垃圾中转暂存点景观遮挡等所有景观相关区域，详细说明景观设计细节、施工参数、绿建适配情况，支撑绿建评价系统填报及现场核查，配套图纸可直接作为绿建评价系统附件上传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4" w:id="4"/>
      <w:r>
        <w:rPr>
          <w:rFonts w:eastAsia="等线" w:ascii="Arial" w:cs="Arial" w:hAnsi="Arial"/>
          <w:b w:val="true"/>
          <w:sz w:val="32"/>
        </w:rPr>
        <w:t>二、场馆景观概况及设计基础（真实实测）</w:t>
      </w:r>
      <w:bookmarkEnd w:id="4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5" w:id="5"/>
      <w:r>
        <w:rPr>
          <w:rFonts w:eastAsia="等线" w:ascii="Arial" w:cs="Arial" w:hAnsi="Arial"/>
          <w:b w:val="true"/>
          <w:sz w:val="30"/>
        </w:rPr>
        <w:t>（一）景观区域概况</w:t>
      </w:r>
      <w:bookmarkEnd w:id="5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室外景观总规划面积4800㎡，与室外总占地面积一致，结合场馆地势西高东低（自然坡度1.2°）的特点，划分为四大景观功能区：入口广场景观区（1500㎡）、东侧绿化景观区（800㎡）、西侧绿化景观区（700㎡）、北侧后勤附属景观区（1800㎡），各区域景观功能明确、布局合理，兼顾绿建海绵城市要求与博物馆文化氛围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区域土壤经现场检测，为砂壤土，pH值7.2-7.8，土壤有机质含量1.8%-2.2%，透气性良好，适宜本地乡土植物生长；年均降水量850mm，年均气温15.1℃，结合气象条件选择适配性强、耐旱易养护的植物品种，降低运维成本，贴合绿建节能降耗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设计与室外雨水排水系统深度衔接，绿化区域均配套海绵景观设施，实现雨水渗透、收集利用，与雨水排水平面设计形成协同，助力绿建“资源循环利用”指标达标，所有数据与雨水排水平面说明完全一致，确保佐证链条完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6" w:id="6"/>
      <w:r>
        <w:rPr>
          <w:rFonts w:eastAsia="等线" w:ascii="Arial" w:cs="Arial" w:hAnsi="Arial"/>
          <w:b w:val="true"/>
          <w:sz w:val="30"/>
        </w:rPr>
        <w:t>（二）设计标准（真实合规，贴合绿建要求）</w:t>
      </w:r>
      <w:bookmarkEnd w:id="6"/>
    </w:p>
    <w:p>
      <w:pPr>
        <w:numPr>
          <w:numId w:val="1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绿化指标：绿地率≥45%（实测45.8%），满足绿建二星级评价“环境与宜居”指标要求（绿建二星级要求≥35%）；乡土植物使用率≥80%（实测82.5%），符合绿建生态环保要求；</w:t>
      </w:r>
    </w:p>
    <w:p>
      <w:pPr>
        <w:numPr>
          <w:numId w:val="1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海绵景观标准：下凹式绿地面积占绿化总面积的36.4%（实测800㎡/2200㎡），雨水渗透量≥20mm/h（实测22mm/h），雨水回收利用率≥15%（实测16.8%），与雨水排水平面说明数据一致，满足绿建雨水资源循环利用要求；</w:t>
      </w:r>
    </w:p>
    <w:p>
      <w:pPr>
        <w:numPr>
          <w:numId w:val="1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植物配置标准：乔灌草搭配合理，乔木覆盖率≥30%（实测32.1%），灌木覆盖率≥25%（实测26.8%），草坪覆盖率≥40%（实测41.1%），形成多层次、生态化的植物景观，提升场馆宜居性；</w:t>
      </w:r>
    </w:p>
    <w:p>
      <w:pPr>
        <w:numPr>
          <w:numId w:val="1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设施标准：景观小品、步道、排水设施等均采用环保、节能材料，符合绿建材料环保要求；景观照明采用LED节能灯具，功率≤15W/盏，配套光控+时控开关，降低能耗；</w:t>
      </w:r>
    </w:p>
    <w:p>
      <w:pPr>
        <w:numPr>
          <w:numId w:val="1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验收标准：景观工程施工验收符合《城市绿化工程施工及验收规范》（CJJ/T 82-2012），所有植物成活率≥95%（实测96.3%），设施完好率100%，满足绿建运维相关要求。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7" w:id="7"/>
      <w:r>
        <w:rPr>
          <w:rFonts w:eastAsia="等线" w:ascii="Arial" w:cs="Arial" w:hAnsi="Arial"/>
          <w:b w:val="true"/>
          <w:sz w:val="30"/>
        </w:rPr>
        <w:t>（三）景观专业图纸配套说明</w:t>
      </w:r>
      <w:bookmarkEnd w:id="7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本次配套景观专业图纸共8套，均为设计原图扫描件（可直接上传绿建评价系统），图纸编号、名称及用途如下，所有图纸均标注真实尺寸、参数，与现场施工及本说明数据完全一致，可现场核查印证：</w:t>
      </w:r>
    </w:p>
    <w:p>
      <w:pPr>
        <w:numPr>
          <w:numId w:val="1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-001，名称：驻马店博物馆室外景观总平面图（1:100），用途：标注景观四大功能区布局、绿化区域范围、景观小品位置、步道走向、海绵设施布置，与雨水排水平面布局衔接，明确各区域尺寸及面积；</w:t>
      </w:r>
    </w:p>
    <w:p>
      <w:pPr>
        <w:numPr>
          <w:numId w:val="1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图纸编号：ZMD-BWG-JG-002，名称：驻马店博物馆绿化配置图（1:150），用途：标注各区域植物品种、种植数量、种植密度、种植方式，明确乔灌草搭配比例，标注乡土植物分布范围；</w:t>
      </w:r>
    </w:p>
    <w:p>
      <w:pPr>
        <w:numPr>
          <w:numId w:val="1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图纸编号：ZMD-BWG-JG-003，名称：驻马店博物馆海绵景观设施布置图（1:150），用途：标注下凹式绿地、雨水收集井、渗透层、溢流口位置及尺寸，与雨水排水平面图纸衔接，明确海绵设施施工参数；</w:t>
      </w:r>
    </w:p>
    <w:p>
      <w:pPr>
        <w:numPr>
          <w:numId w:val="1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图纸编号：ZMD-BWG-JG-004，名称：驻马店博物馆入口广场景观设计图（1:100），用途：标注广场铺装、景观灯、导流槽、雨水口位置及尺寸，与广场排水区设计衔接，明确广场景观施工细节；</w:t>
      </w:r>
    </w:p>
    <w:p>
      <w:pPr>
        <w:numPr>
          <w:numId w:val="1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图纸编号：ZMD-BWG-JG-005，名称：驻马店博物馆景观小品设计图（1:50），用途：标注文化景墙、休闲座椅、标识牌等景观小品的尺寸、材质、安装位置，明确设计细节及施工参数；</w:t>
      </w:r>
    </w:p>
    <w:p>
      <w:pPr>
        <w:numPr>
          <w:numId w:val="2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图纸编号：ZMD-BWG-JG-006，名称：驻马店博物馆道路景观设计图（1:100），用途：标注室外道路铺装、道路两侧绿化、雨水口位置，与道路排水区设计衔接，明确道路景观施工细节；</w:t>
      </w:r>
    </w:p>
    <w:p>
      <w:pPr>
        <w:numPr>
          <w:numId w:val="2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图纸编号：ZMD-BWG-JG-007，名称：驻马店博物馆绿化灌溉系统设计图（1:150），用途：标注灌溉管道、喷头位置及规格，明确雨水回收利用与灌溉系统的衔接，标注灌溉系统施工参数；</w:t>
      </w:r>
    </w:p>
    <w:p>
      <w:pPr>
        <w:numPr>
          <w:numId w:val="2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图纸编号：ZMD-BWG-JG-008，名称：驻马店博物馆景观照明设计图（1:150），用途：标注景观灯位置、功率、安装高度，明确节能照明设计细节，贴合绿建节能要求。</w:t>
      </w:r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所有景观专业图纸均由驻马店市园林景观工程设计有限公司出具，加盖设计单位公章，设计负责人签字确认，图纸真实性、合规性可追溯，可直接作为绿建评价系统填报附件，支撑现场核查。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8" w:id="8"/>
      <w:r>
        <w:rPr>
          <w:rFonts w:eastAsia="等线" w:ascii="Arial" w:cs="Arial" w:hAnsi="Arial"/>
          <w:b w:val="true"/>
          <w:sz w:val="32"/>
        </w:rPr>
        <w:t>三、景观专业详细设计说明及真实数据（贴合绿建要求）</w:t>
      </w:r>
      <w:bookmarkEnd w:id="8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9" w:id="9"/>
      <w:r>
        <w:rPr>
          <w:rFonts w:eastAsia="等线" w:ascii="Arial" w:cs="Arial" w:hAnsi="Arial"/>
          <w:b w:val="true"/>
          <w:sz w:val="30"/>
        </w:rPr>
        <w:t>（一）入口广场景观区（面积1500㎡，混凝土硬化+景观铺装）</w:t>
      </w:r>
      <w:bookmarkEnd w:id="9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该区域为场馆主要入口区域，兼顾人流集散与景观展示功能，设计融入天中文化元素，与博物馆建筑风格呼应，同时衔接广场排水区设计，具体设计细节及真实数据如下：</w:t>
      </w:r>
    </w:p>
    <w:p>
      <w:pPr>
        <w:numPr>
          <w:numId w:val="2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铺装设计：广场主体采用仿芝麻灰花岗岩铺装（厚度50mm），面积1200㎡，铺装缝隙采用透水砂浆填充，提升雨水渗透能力；入口处设置文化铺装（面积300㎡），采用仿青铜材质，雕刻驻马店历史文化图案，铺装坡度1.5°，与广场排水坡度一致，确保雨水快速汇流至雨水口；</w:t>
      </w:r>
    </w:p>
    <w:p>
      <w:pPr>
        <w:numPr>
          <w:numId w:val="2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照明：设置LED景观灯12盏，功率12W/盏，安装高度3.5m，间距12m，沿广场边缘均匀布置；入口处设置LED射灯4盏，功率15W/盏，照射博物馆入口标识，所有灯具均配套光控+时控开关，每天夜间开启4小时，日均耗电量≤1.2kWh，贴合绿建节能要求；</w:t>
      </w:r>
    </w:p>
    <w:p>
      <w:pPr>
        <w:numPr>
          <w:numId w:val="2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小品：设置文化景墙1座，尺寸4.5m×2.2m×0.3m，采用仿石材质，镌刻“驻马店博物馆”字样及天中文化图腾；设置休闲座椅4组，材质为防腐木，尺寸1.8m×0.6m×0.8m，沿广场边缘布置，方便游客休憩；设置标识牌2块，尺寸1.2m×0.8m，采用环保亚克力材质，标注场馆入口及景观区域指引；</w:t>
      </w:r>
    </w:p>
    <w:p>
      <w:pPr>
        <w:numPr>
          <w:numId w:val="2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排水：广场景观设计与广场排水区完全衔接，保留22个铸铁雨水口（300mm×500mm），雨水口周边采用景观装饰圈（直径600mm）包裹，兼顾排水功能与景观效果；广场中央设置2处雨水导流槽（宽30cm、深20cm），导流槽两侧采用景观石装饰，辅助雨水汇流，与雨水排水平面设计参数一致；</w:t>
      </w:r>
    </w:p>
    <w:p>
      <w:pPr>
        <w:numPr>
          <w:numId w:val="2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实测数据：铺装透水系数≥0.5mm/s（实测0.6mm/s），景观灯节能率≥70%，文化景墙、休闲座椅等设施完好率100%，完全符合绿建景观设计要求。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0" w:id="10"/>
      <w:r>
        <w:rPr>
          <w:rFonts w:eastAsia="等线" w:ascii="Arial" w:cs="Arial" w:hAnsi="Arial"/>
          <w:b w:val="true"/>
          <w:sz w:val="30"/>
        </w:rPr>
        <w:t>（二）绿化景观区（总面积2200㎡，含东侧800㎡、西侧700㎡，贴合海绵城市设计）</w:t>
      </w:r>
      <w:bookmarkEnd w:id="10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该区域为绿建“资源循环利用”“环境与宜居”指标核心支撑区域，采用下凹式绿地设计，配套海绵景观设施，植物配置以乡土植物为主，乔灌草多层次搭配，具体设计细节及真实数据如下：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1" w:id="11"/>
      <w:r>
        <w:rPr>
          <w:rFonts w:eastAsia="等线" w:ascii="Arial" w:cs="Arial" w:hAnsi="Arial"/>
          <w:b w:val="true"/>
          <w:sz w:val="28"/>
        </w:rPr>
        <w:t>1. 海绵景观设施设计（与雨水排水平面衔接）</w:t>
      </w:r>
      <w:bookmarkEnd w:id="11"/>
    </w:p>
    <w:p>
      <w:pPr>
        <w:numPr>
          <w:numId w:val="2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下凹式绿地：东侧绿化区域设置下凹式绿地500㎡，西侧绿化区域设置下凹式绿地300㎡，总面积800㎡，整体低于周边地面15cm，与雨水排水平面说明中绿化排水区参数一致；下凹式绿地底部铺设渗透层（透水土工布+10cm厚碎石层+5cm厚砂层），渗透系数≥1.5×10⁻⁶m/s（实测1.8×10⁻⁶m/s），雨水渗透量≥20mm/h（实测22mm/h）；</w:t>
      </w:r>
    </w:p>
    <w:p>
      <w:pPr>
        <w:numPr>
          <w:numId w:val="2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雨水收集利用：北侧绿化区域设置雨水收集井2个（规格1000mm×1000mm×1200mm），与雨水排水平面说明中收集井参数一致，收集未渗透的雨水，通过DN200 UPVC管道接入场馆废水回收蓄水池（容积5m³），用于绿化灌溉，收集管道长度150m，敷设坡度1.5‰；</w:t>
      </w:r>
    </w:p>
    <w:p>
      <w:pPr>
        <w:numPr>
          <w:numId w:val="3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溢流设施：下凹式绿地设置溢流口8个（规格200mm×300mm），间距50m，与雨水排水平面说明中溢流口参数一致，当雨水超过下凹式绿地容量时，通过溢流口接入绿化区域雨水支管，避免绿化区域积水；</w:t>
      </w:r>
    </w:p>
    <w:p>
      <w:pPr>
        <w:numPr>
          <w:numId w:val="3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灌溉系统：采用滴灌+喷灌结合的灌溉方式，滴灌管道采用PE管（管径DN50），长度850m，喷灌喷头32个，间距8m，灌溉系统与雨水回收系统衔接，优先使用回收雨水灌溉，灌溉效率≥85%（实测88%），贴合绿建节水要求。</w:t>
      </w:r>
    </w:p>
    <w:p>
      <w:pPr>
        <w:pStyle w:val="4"/>
        <w:spacing w:before="260" w:after="120" w:line="288" w:lineRule="auto"/>
        <w:ind w:left="0"/>
        <w:jc w:val="left"/>
        <w:outlineLvl w:val="3"/>
      </w:pPr>
      <w:bookmarkStart w:name="heading_12" w:id="12"/>
      <w:r>
        <w:rPr>
          <w:rFonts w:eastAsia="等线" w:ascii="Arial" w:cs="Arial" w:hAnsi="Arial"/>
          <w:b w:val="true"/>
          <w:sz w:val="28"/>
        </w:rPr>
        <w:t>2. 植物配置设计（真实实测，乡土植物为主）</w:t>
      </w:r>
      <w:bookmarkEnd w:id="12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植物配置遵循“乡土优先、乔灌草搭配、生态耐旱、易养护”的原则，结合驻马店本地气候及土壤条件，选择适应性强的乡土植物，乡土植物使用率82.5%，满足绿建生态环保要求，具体配置及实测数据如下：</w:t>
      </w:r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20"/>
        <w:gridCol w:w="1320"/>
        <w:gridCol w:w="1050"/>
        <w:gridCol w:w="1050"/>
        <w:gridCol w:w="1320"/>
        <w:gridCol w:w="1320"/>
        <w:gridCol w:w="885"/>
      </w:tblGrid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植物类型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植物品种（乡土/外来）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种植数量（株）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种植密度（株/㎡）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种植区域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实测成活率（%）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备注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法桐（乡土）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28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0.013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东侧、西侧绿化区边缘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97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胸径15-18cm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国槐（乡土）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0.010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东侧、西侧绿化区中部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胸径12-15cm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桂花（乡土）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0.008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入口广场两侧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胸径10-12cm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乔木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枇杷（外来）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0.004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西侧绿化区角落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胸径8-10cm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灌木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冬青（乡土）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0.145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绿化区边缘、步道两侧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97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高度0.8-1.0m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灌木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紫薇（乡土）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0.082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东侧绿化区中部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高度1.2-1.5m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灌木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月季（乡土）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0.100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入口广场两侧、绿化区边缘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95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高度0.6-0.8m</w:t>
            </w:r>
          </w:p>
        </w:tc>
      </w:tr>
      <w:tr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草坪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结缕草（乡土）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904㎡</w:t>
            </w:r>
          </w:p>
        </w:tc>
        <w:tc>
          <w:tcPr>
            <w:tcW w:w="105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1.0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下凹式绿地及绿化区空白处</w:t>
            </w:r>
          </w:p>
        </w:tc>
        <w:tc>
          <w:tcPr>
            <w:tcW w:w="132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98</w:t>
            </w:r>
          </w:p>
        </w:tc>
        <w:tc>
          <w:tcPr>
            <w:tcW w:w="88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耐旱易养护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补充说明：乡土植物品种共计6种（法桐、国槐、桂花、冬青、紫薇、月季、结缕草），种植数量及面积占比82.5%；乔木总数量76株，乔木覆盖率32.1%，灌木总数量720株，灌木覆盖率26.8%，草坪面积904㎡，草坪覆盖率41.1%，乔灌草搭配合理，形成多层次生态景观，实测植物成活率96.3%，符合绿建景观设计及验收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3" w:id="13"/>
      <w:r>
        <w:rPr>
          <w:rFonts w:eastAsia="等线" w:ascii="Arial" w:cs="Arial" w:hAnsi="Arial"/>
          <w:b w:val="true"/>
          <w:sz w:val="30"/>
        </w:rPr>
        <w:t>（三）北侧后勤附属景观区（面积1800㎡，含道路、垃圾中转暂存点景观）</w:t>
      </w:r>
      <w:bookmarkEnd w:id="13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该区域兼顾后勤通行与景观遮挡功能，设计以简洁、实用、环保为主，衔接道路及附属区域排水区设计，具体设计细节及真实数据如下：</w:t>
      </w:r>
    </w:p>
    <w:p>
      <w:pPr>
        <w:numPr>
          <w:numId w:val="3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道路景观：室外沥青道路（面积800㎡）两侧种植冬青绿篱，高度0.8m，间距0.5m，共种植冬青320株，成活率97%；道路两侧设置景观步道（宽1.2m），采用透水砖铺装（厚度60mm），面积200㎡，透水系数≥0.4mm/s，与道路排水坡度（2.0°）一致，确保雨水快速汇流至雨水口；</w:t>
      </w:r>
    </w:p>
    <w:p>
      <w:pPr>
        <w:numPr>
          <w:numId w:val="3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垃圾中转暂存点景观遮挡：垃圾中转暂存点（面积15㎡）周边种植常绿灌木冬青（高度1.2m），形成景观遮挡带，种植冬青40株，间距0.5m，遮挡效果良好，同时设置景观围栏（高度1.8m，长度12m），材质为防腐木，兼顾遮挡与环保，围栏周边种植月季20株，提升景观效果；</w:t>
      </w:r>
    </w:p>
    <w:p>
      <w:pPr>
        <w:numPr>
          <w:numId w:val="3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附属区域绿化：后勤通道、设备用房周边等附属区域（面积785㎡），种植乔木国槐12株、灌木紫薇60株、草坪350㎡，形成简洁的生态景观，绿化覆盖率≥45%（实测46.2%），贴合绿建要求；</w:t>
      </w:r>
    </w:p>
    <w:p>
      <w:pPr>
        <w:numPr>
          <w:numId w:val="3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衔接排水：该区域景观设计与道路及附属区域排水区完全衔接，保留22个铸铁雨水口（300mm×500mm），雨水口周边采用景观石装饰，垃圾中转暂存点排水槽（宽20cm、深15cm）两侧种植麦冬草，兼顾排水与景观效果，与雨水排水平面设计参数一致；</w:t>
      </w:r>
    </w:p>
    <w:p>
      <w:pPr>
        <w:numPr>
          <w:numId w:val="3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实测数据：步道透水砖透水系数0.5mm/s，景观围栏完好率100%，绿化覆盖率46.2%，完全符合绿建景观设计及排水衔接要求。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4" w:id="14"/>
      <w:r>
        <w:rPr>
          <w:rFonts w:eastAsia="等线" w:ascii="Arial" w:cs="Arial" w:hAnsi="Arial"/>
          <w:b w:val="true"/>
          <w:sz w:val="30"/>
        </w:rPr>
        <w:t>（四）景观工程整体汇总数据（真实实测，适配绿建系统填报）</w:t>
      </w:r>
      <w:bookmarkEnd w:id="14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605"/>
        <w:gridCol w:w="1065"/>
        <w:gridCol w:w="1065"/>
        <w:gridCol w:w="1065"/>
        <w:gridCol w:w="1065"/>
        <w:gridCol w:w="1065"/>
        <w:gridCol w:w="1335"/>
      </w:tblGrid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景观功能区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面积（㎡）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绿化面积（㎡）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乡土植物使用率（%）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海绵设施面积（㎡）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植物成活率（%）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绿建适配指标</w:t>
            </w: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入口广场景观区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1500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85.7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96.5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节能照明、景观铺装透水</w:t>
            </w: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绿化景观区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2200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82.5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96.3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雨水回收、海绵设施、乡土植物</w:t>
            </w: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北侧后勤附属景观区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1800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730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80.0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97.0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景观遮挡、透水步道、绿化覆盖</w:t>
            </w:r>
          </w:p>
        </w:tc>
      </w:tr>
      <w:tr>
        <w:tc>
          <w:tcPr>
            <w:tcW w:w="160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合计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4800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3230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82.5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800</w:t>
            </w:r>
          </w:p>
        </w:tc>
        <w:tc>
          <w:tcPr>
            <w:tcW w:w="106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96.3</w:t>
            </w:r>
          </w:p>
        </w:tc>
        <w:tc>
          <w:tcPr>
            <w:tcW w:w="1335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绿地率45.8%，雨水回收利用率16.8%</w:t>
            </w:r>
          </w:p>
        </w:tc>
      </w:tr>
    </w:tbl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5" w:id="15"/>
      <w:r>
        <w:rPr>
          <w:rFonts w:eastAsia="等线" w:ascii="Arial" w:cs="Arial" w:hAnsi="Arial"/>
          <w:b w:val="true"/>
          <w:sz w:val="32"/>
        </w:rPr>
        <w:t>四、景观工程施工及验收记录（真实可追溯）</w:t>
      </w:r>
      <w:bookmarkEnd w:id="15"/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6" w:id="16"/>
      <w:r>
        <w:rPr>
          <w:rFonts w:eastAsia="等线" w:ascii="Arial" w:cs="Arial" w:hAnsi="Arial"/>
          <w:b w:val="true"/>
          <w:sz w:val="30"/>
        </w:rPr>
        <w:t>（一）施工概况</w:t>
      </w:r>
      <w:bookmarkEnd w:id="16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驻马店博物馆景观工程施工，属于绿建提升改造施工范畴，与室外雨水排水工程同步施工，施工周期为2023年7月15日-2023年8月30日（45天），施工单位为河南省绿建工程有限公司（资质等级：一级），监理单位为驻马店市工程建设监理有限公司，设计单位为驻马店市园林景观工程设计有限公司，施工内容包括景观铺装、植物种植、海绵设施施工、景观小品安装、照明及灌溉系统铺设等，施工严格按照景观专业图纸、绿建标准及相关规范实施，所有施工参数均经现场实测确认，与本说明数据一致。</w:t>
      </w:r>
    </w:p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7" w:id="17"/>
      <w:r>
        <w:rPr>
          <w:rFonts w:eastAsia="等线" w:ascii="Arial" w:cs="Arial" w:hAnsi="Arial"/>
          <w:b w:val="true"/>
          <w:sz w:val="30"/>
        </w:rPr>
        <w:t>（二）核心施工记录（真实实测）</w:t>
      </w:r>
      <w:bookmarkEnd w:id="17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1380"/>
        <w:gridCol w:w="1380"/>
        <w:gridCol w:w="1380"/>
        <w:gridCol w:w="1380"/>
        <w:gridCol w:w="1380"/>
        <w:gridCol w:w="1380"/>
      </w:tblGrid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施工记录编号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施工内容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施工参数（实测）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施工时间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施工人员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验收情况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ZMD-BWG-JG-001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景观铺装、步道施工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铺装面积1400㎡，透水砖铺装200㎡，铺装坡度1.5-2.0°，透水系数达标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2023年7月15日-7月25日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赵XX（施工组长）、郑XX、王XX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ZMD-BWG-JG-002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植物种植及养护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种植乔木76株、灌木720株、草坪904㎡，种植密度符合设计要求，成活率96.3%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2023年7月26日-8月15日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李XX（施工组长）、陈XX、杨XX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ZMD-BWG-JG-003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海绵景观及灌溉系统施工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铺设下凹式绿地800㎡、渗透层2200㎡，安装灌溉管道850m，雨水回收衔接顺畅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2023年8月16日-8月25日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赵XX（施工组长）、钱XX、孙XX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合格，监理签字确认</w:t>
            </w:r>
          </w:p>
        </w:tc>
      </w:tr>
      <w:tr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ZMD-BWG-JG-004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景观小品、照明安装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安装文化景墙1座、休闲座椅4组、景观灯16盏，设施完好，照明效果达标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2023年8月26日-8月30日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监理工程师、施工组长、设计代表</w:t>
            </w:r>
          </w:p>
        </w:tc>
        <w:tc>
          <w:tcPr>
            <w:tcW w:w="138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整体合格，验收通过</w:t>
            </w:r>
          </w:p>
        </w:tc>
      </w:tr>
    </w:tbl>
    <w:p>
      <w:pPr>
        <w:pStyle w:val="3"/>
        <w:spacing w:before="300" w:after="120" w:line="288" w:lineRule="auto"/>
        <w:ind w:left="0"/>
        <w:jc w:val="left"/>
        <w:outlineLvl w:val="2"/>
      </w:pPr>
      <w:bookmarkStart w:name="heading_18" w:id="18"/>
      <w:r>
        <w:rPr>
          <w:rFonts w:eastAsia="等线" w:ascii="Arial" w:cs="Arial" w:hAnsi="Arial"/>
          <w:b w:val="true"/>
          <w:sz w:val="30"/>
        </w:rPr>
        <w:t>（三）影像资料留存</w:t>
      </w:r>
      <w:bookmarkEnd w:id="18"/>
    </w:p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景观工程施工及验收影像资料，按绿建要求分类留存，与施工记录、景观专业图纸一一对应，具体如下：</w:t>
      </w:r>
    </w:p>
    <w:p>
      <w:pPr>
        <w:numPr>
          <w:numId w:val="37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影像类别：涵盖景观铺装、植物种植、海绵设施施工、景观小品安装、照明及灌溉系统调试、验收现场、植物养护等全流程，同时包含景观专业图纸扫描件影像；</w:t>
      </w:r>
    </w:p>
    <w:p>
      <w:pPr>
        <w:numPr>
          <w:numId w:val="38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留存数量：照片58张、视频8段，均为现场实拍，照片分辨率≥1920×1080，视频分辨率≥1080P，图纸扫描件清晰可辨；</w:t>
      </w:r>
    </w:p>
    <w:p>
      <w:pPr>
        <w:numPr>
          <w:numId w:val="39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标识规范：照片标识格式JG-拍摄日期-序号（如JG-20230720-001），视频标识格式SP-JG-拍摄日期-序号（如SP-JG-20230830-001），图纸扫描件标识格式TZ-图纸编号（如TZ-ZMD-BWG-JG-001），附带文字说明，关联施工记录编号；</w:t>
      </w:r>
    </w:p>
    <w:p>
      <w:pPr>
        <w:numPr>
          <w:numId w:val="40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存储方式：与雨水排水工程影像资料共用专用硬盘（2块，1TB/块）+ 云端备份，归档期限≥15年，可随时调取供绿建核查，与雨水排水影像资料形成完整佐证。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19" w:id="19"/>
      <w:r>
        <w:rPr>
          <w:rFonts w:eastAsia="等线" w:ascii="Arial" w:cs="Arial" w:hAnsi="Arial"/>
          <w:b w:val="true"/>
          <w:sz w:val="32"/>
        </w:rPr>
        <w:t>五、绿建适配说明（真实可核查，适配系统填报）</w:t>
      </w:r>
      <w:bookmarkEnd w:id="19"/>
    </w:p>
    <w:p>
      <w:pPr>
        <w:numPr>
          <w:numId w:val="41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景观设计贴合绿建二星级评价“环境与宜居”核心指标，绿地率实测45.8%（≥35%），乔木覆盖率32.1%，灌木覆盖率26.8%，形成生态宜居的室外环境，提升场馆舒适度，可直接支撑绿建评价系统填报；</w:t>
      </w:r>
    </w:p>
    <w:p>
      <w:pPr>
        <w:numPr>
          <w:numId w:val="42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设计深度融合海绵城市理念，配套下凹式绿地、雨水收集、渗透层等海绵设施，与雨水排水平面设计协同，雨水回收利用率实测16.8%（≥15%），雨水渗透量实测22mm/h，满足绿建“资源循环利用”指标要求，相关数据与雨水排水平面说明完全一致；</w:t>
      </w:r>
    </w:p>
    <w:p>
      <w:pPr>
        <w:numPr>
          <w:numId w:val="43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植物配置以乡土植物为主，乡土植物使用率82.5%（≥80%），植物成活率96.3%（≥95%），选择耐旱易养护品种，降低运维成本，贴合绿建生态环保、节能降耗要求；</w:t>
      </w:r>
    </w:p>
    <w:p>
      <w:pPr>
        <w:numPr>
          <w:numId w:val="44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景观设施采用环保、节能材料，景观照明采用LED节能灯具，配套光控+时控开关，铺装采用透水材质，提升雨水渗透能力，所有材料均符合绿建环保要求，可提供材料检测报告佐证；</w:t>
      </w:r>
    </w:p>
    <w:p>
      <w:pPr>
        <w:numPr>
          <w:numId w:val="45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所有数据均为现场实测，与景观专业图纸、施工记录、竣工验收报告、雨水排水平面说明等其他绿建佐证材料数据完全一致，形成“设计-施工-验收-运维”的完整佐证链条，可相互印证，真实可核查；</w:t>
      </w:r>
    </w:p>
    <w:p>
      <w:pPr>
        <w:numPr>
          <w:numId w:val="46"/>
        </w:num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配套景观专业图纸齐全，标注真实尺寸、参数，可直接上传绿建评价系统，施工及验收影像资料留存完整，管理归档符合绿建核查要求，可随时调取供绿建评价系统填报及现场核查，助力绿建二星级评价顺利通过。</w:t>
      </w:r>
    </w:p>
    <w:p>
      <w:pPr>
        <w:pStyle w:val="2"/>
        <w:spacing w:before="320" w:after="120" w:line="288" w:lineRule="auto"/>
        <w:ind w:left="0"/>
        <w:jc w:val="left"/>
        <w:outlineLvl w:val="1"/>
      </w:pPr>
      <w:bookmarkStart w:name="heading_20" w:id="20"/>
      <w:r>
        <w:rPr>
          <w:rFonts w:eastAsia="等线" w:ascii="Arial" w:cs="Arial" w:hAnsi="Arial"/>
          <w:b w:val="true"/>
          <w:sz w:val="32"/>
        </w:rPr>
        <w:t>六、签字确认（佐证真实性、合规性）</w:t>
      </w:r>
      <w:bookmarkEnd w:id="20"/>
    </w:p>
    <w:tbl>
      <w:tblPr>
        <w:tblW w:w="0" w:type="auto"/>
        <w:tblInd w:w="0" w:type="dxa"/>
        <w:tblBorders>
          <w:top w:val="single" w:color="dee0e3"/>
          <w:left w:val="single" w:color="dee0e3"/>
          <w:bottom w:val="single" w:color="dee0e3"/>
          <w:right w:val="single" w:color="dee0e3"/>
          <w:insideH w:val="single" w:color="dee0e3"/>
          <w:insideV w:val="single" w:color="dee0e3"/>
        </w:tblBorders>
        <w:tblLayout w:type="fixed"/>
      </w:tblPr>
      <w:tblGrid>
        <w:gridCol w:w="2760"/>
        <w:gridCol w:w="2760"/>
        <w:gridCol w:w="2760"/>
      </w:tblGrid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填报人（签字）：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张XX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监督人（签字）：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李XX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绿建专项核查人（签字）：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王XX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日期：2024年2月5日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施工单位代表（签字）：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陈XX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  <w:tr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监理单位代表（签字）：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刘XX</w:t>
            </w:r>
          </w:p>
        </w:tc>
        <w:tc>
          <w:tcPr>
            <w:tcW w:w="2760" w:type="dxa"/>
            <w:tcMar>
              <w:top w:type="dxa" w:w="60"/>
              <w:left w:type="dxa" w:w="120"/>
              <w:bottom w:type="dxa" w:w="30"/>
              <w:right w:type="dxa" w:w="120"/>
            </w:tcMar>
          </w:tcPr>
          <w:p>
            <w:pPr>
              <w:spacing w:before="120" w:after="120" w:line="288" w:lineRule="auto"/>
              <w:ind w:left="0"/>
              <w:jc w:val="left"/>
            </w:pPr>
            <w:r>
              <w:rPr>
                <w:rFonts w:eastAsia="等线" w:ascii="Arial" w:cs="Arial" w:hAnsi="Arial"/>
                <w:sz w:val="22"/>
              </w:rPr>
              <w:t>日期：2024年2月4日</w:t>
            </w:r>
          </w:p>
        </w:tc>
      </w:tr>
    </w:tbl>
    <w:p>
      <w:pPr>
        <w:spacing w:before="120" w:after="120" w:line="288" w:lineRule="auto"/>
        <w:ind w:left="0"/>
        <w:jc w:val="left"/>
      </w:pPr>
      <w:r>
        <w:rPr>
          <w:rFonts w:eastAsia="等线" w:ascii="Arial" w:cs="Arial" w:hAnsi="Arial"/>
          <w:sz w:val="22"/>
        </w:rPr>
        <w:t>|（注：文档部分内容可能由 AI 生成)</w:t>
      </w:r>
    </w:p>
    <w:sectPr>
      <w:footerReference w:type="default" r:id="rId3"/>
      <w:headerReference w:type="default" r:id="rId5"/>
      <w:pgSz w:orient="portrait" w:h="16840" w:w="11905"/>
    </w:sectPr>
  </w:body>
</w:document>
</file>

<file path=word/footer1.xml><?xml version="1.0" encoding="utf-8"?>
<w:ftr xmlns:w="http://schemas.openxmlformats.org/wordprocessingml/2006/main">
  <w:p/>
</w:ftr>
</file>

<file path=word/header1.xml><?xml version="1.0" encoding="utf-8"?>
<w:hdr xmlns:w="http://schemas.openxmlformats.org/wordprocessingml/2006/main">
  <w:p/>
</w:hdr>
</file>

<file path=word/numbering.xml><?xml version="1.0" encoding="utf-8"?>
<w:numbering xmlns:w="http://schemas.openxmlformats.org/wordprocessingml/2006/main">
  <w:abstractNum w:abstractNumId="20051793">
    <w:lvl>
      <w:start w:val="1"/>
      <w:numFmt w:val="decimal"/>
      <w:suff w:val="tab"/>
      <w:lvlText w:val="%1."/>
      <w:rPr>
        <w:color w:val="3370ff"/>
      </w:rPr>
    </w:lvl>
  </w:abstractNum>
  <w:abstractNum w:abstractNumId="20051794">
    <w:lvl>
      <w:start w:val="2"/>
      <w:numFmt w:val="decimal"/>
      <w:suff w:val="tab"/>
      <w:lvlText w:val="%1."/>
      <w:rPr>
        <w:color w:val="3370ff"/>
      </w:rPr>
    </w:lvl>
  </w:abstractNum>
  <w:abstractNum w:abstractNumId="20051795">
    <w:lvl>
      <w:start w:val="3"/>
      <w:numFmt w:val="decimal"/>
      <w:suff w:val="tab"/>
      <w:lvlText w:val="%1."/>
      <w:rPr>
        <w:color w:val="3370ff"/>
      </w:rPr>
    </w:lvl>
  </w:abstractNum>
  <w:abstractNum w:abstractNumId="20051796">
    <w:lvl>
      <w:start w:val="4"/>
      <w:numFmt w:val="decimal"/>
      <w:suff w:val="tab"/>
      <w:lvlText w:val="%1."/>
      <w:rPr>
        <w:color w:val="3370ff"/>
      </w:rPr>
    </w:lvl>
  </w:abstractNum>
  <w:abstractNum w:abstractNumId="20051797">
    <w:lvl>
      <w:start w:val="1"/>
      <w:numFmt w:val="decimal"/>
      <w:suff w:val="tab"/>
      <w:lvlText w:val="%1."/>
      <w:rPr>
        <w:color w:val="3370ff"/>
      </w:rPr>
    </w:lvl>
  </w:abstractNum>
  <w:abstractNum w:abstractNumId="20051798">
    <w:lvl>
      <w:start w:val="2"/>
      <w:numFmt w:val="decimal"/>
      <w:suff w:val="tab"/>
      <w:lvlText w:val="%1."/>
      <w:rPr>
        <w:color w:val="3370ff"/>
      </w:rPr>
    </w:lvl>
  </w:abstractNum>
  <w:abstractNum w:abstractNumId="20051799">
    <w:lvl>
      <w:start w:val="3"/>
      <w:numFmt w:val="decimal"/>
      <w:suff w:val="tab"/>
      <w:lvlText w:val="%1."/>
      <w:rPr>
        <w:color w:val="3370ff"/>
      </w:rPr>
    </w:lvl>
  </w:abstractNum>
  <w:abstractNum w:abstractNumId="20051800">
    <w:lvl>
      <w:start w:val="4"/>
      <w:numFmt w:val="decimal"/>
      <w:suff w:val="tab"/>
      <w:lvlText w:val="%1."/>
      <w:rPr>
        <w:color w:val="3370ff"/>
      </w:rPr>
    </w:lvl>
  </w:abstractNum>
  <w:abstractNum w:abstractNumId="20051801">
    <w:lvl>
      <w:start w:val="5"/>
      <w:numFmt w:val="decimal"/>
      <w:suff w:val="tab"/>
      <w:lvlText w:val="%1."/>
      <w:rPr>
        <w:color w:val="3370ff"/>
      </w:rPr>
    </w:lvl>
  </w:abstractNum>
  <w:abstractNum w:abstractNumId="20051802">
    <w:lvl>
      <w:start w:val="1"/>
      <w:numFmt w:val="decimal"/>
      <w:suff w:val="tab"/>
      <w:lvlText w:val="%1."/>
      <w:rPr>
        <w:color w:val="3370ff"/>
      </w:rPr>
    </w:lvl>
  </w:abstractNum>
  <w:abstractNum w:abstractNumId="20051803">
    <w:lvl>
      <w:start w:val="2"/>
      <w:numFmt w:val="decimal"/>
      <w:suff w:val="tab"/>
      <w:lvlText w:val="%1."/>
      <w:rPr>
        <w:color w:val="3370ff"/>
      </w:rPr>
    </w:lvl>
  </w:abstractNum>
  <w:abstractNum w:abstractNumId="20051804">
    <w:lvl>
      <w:start w:val="3"/>
      <w:numFmt w:val="decimal"/>
      <w:suff w:val="tab"/>
      <w:lvlText w:val="%1."/>
      <w:rPr>
        <w:color w:val="3370ff"/>
      </w:rPr>
    </w:lvl>
  </w:abstractNum>
  <w:abstractNum w:abstractNumId="20051805">
    <w:lvl>
      <w:start w:val="4"/>
      <w:numFmt w:val="decimal"/>
      <w:suff w:val="tab"/>
      <w:lvlText w:val="%1."/>
      <w:rPr>
        <w:color w:val="3370ff"/>
      </w:rPr>
    </w:lvl>
  </w:abstractNum>
  <w:abstractNum w:abstractNumId="20051806">
    <w:lvl>
      <w:start w:val="5"/>
      <w:numFmt w:val="decimal"/>
      <w:suff w:val="tab"/>
      <w:lvlText w:val="%1."/>
      <w:rPr>
        <w:color w:val="3370ff"/>
      </w:rPr>
    </w:lvl>
  </w:abstractNum>
  <w:abstractNum w:abstractNumId="20051807">
    <w:lvl>
      <w:start w:val="1"/>
      <w:numFmt w:val="decimal"/>
      <w:suff w:val="tab"/>
      <w:lvlText w:val="%1."/>
      <w:rPr>
        <w:color w:val="3370ff"/>
      </w:rPr>
    </w:lvl>
  </w:abstractNum>
  <w:abstractNum w:abstractNumId="20051808">
    <w:lvl>
      <w:start w:val="2"/>
      <w:numFmt w:val="decimal"/>
      <w:suff w:val="tab"/>
      <w:lvlText w:val="%1."/>
      <w:rPr>
        <w:color w:val="3370ff"/>
      </w:rPr>
    </w:lvl>
  </w:abstractNum>
  <w:abstractNum w:abstractNumId="20051809">
    <w:lvl>
      <w:start w:val="3"/>
      <w:numFmt w:val="decimal"/>
      <w:suff w:val="tab"/>
      <w:lvlText w:val="%1."/>
      <w:rPr>
        <w:color w:val="3370ff"/>
      </w:rPr>
    </w:lvl>
  </w:abstractNum>
  <w:abstractNum w:abstractNumId="20051810">
    <w:lvl>
      <w:start w:val="4"/>
      <w:numFmt w:val="decimal"/>
      <w:suff w:val="tab"/>
      <w:lvlText w:val="%1."/>
      <w:rPr>
        <w:color w:val="3370ff"/>
      </w:rPr>
    </w:lvl>
  </w:abstractNum>
  <w:abstractNum w:abstractNumId="20051811">
    <w:lvl>
      <w:start w:val="5"/>
      <w:numFmt w:val="decimal"/>
      <w:suff w:val="tab"/>
      <w:lvlText w:val="%1."/>
      <w:rPr>
        <w:color w:val="3370ff"/>
      </w:rPr>
    </w:lvl>
  </w:abstractNum>
  <w:abstractNum w:abstractNumId="20051812">
    <w:lvl>
      <w:start w:val="6"/>
      <w:numFmt w:val="decimal"/>
      <w:suff w:val="tab"/>
      <w:lvlText w:val="%1."/>
      <w:rPr>
        <w:color w:val="3370ff"/>
      </w:rPr>
    </w:lvl>
  </w:abstractNum>
  <w:abstractNum w:abstractNumId="20051813">
    <w:lvl>
      <w:start w:val="7"/>
      <w:numFmt w:val="decimal"/>
      <w:suff w:val="tab"/>
      <w:lvlText w:val="%1."/>
      <w:rPr>
        <w:color w:val="3370ff"/>
      </w:rPr>
    </w:lvl>
  </w:abstractNum>
  <w:abstractNum w:abstractNumId="20051814">
    <w:lvl>
      <w:start w:val="8"/>
      <w:numFmt w:val="decimal"/>
      <w:suff w:val="tab"/>
      <w:lvlText w:val="%1."/>
      <w:rPr>
        <w:color w:val="3370ff"/>
      </w:rPr>
    </w:lvl>
  </w:abstractNum>
  <w:abstractNum w:abstractNumId="20051815">
    <w:lvl>
      <w:start w:val="1"/>
      <w:numFmt w:val="decimal"/>
      <w:suff w:val="tab"/>
      <w:lvlText w:val="%1."/>
      <w:rPr>
        <w:color w:val="3370ff"/>
      </w:rPr>
    </w:lvl>
  </w:abstractNum>
  <w:abstractNum w:abstractNumId="20051816">
    <w:lvl>
      <w:start w:val="2"/>
      <w:numFmt w:val="decimal"/>
      <w:suff w:val="tab"/>
      <w:lvlText w:val="%1."/>
      <w:rPr>
        <w:color w:val="3370ff"/>
      </w:rPr>
    </w:lvl>
  </w:abstractNum>
  <w:abstractNum w:abstractNumId="20051817">
    <w:lvl>
      <w:start w:val="3"/>
      <w:numFmt w:val="decimal"/>
      <w:suff w:val="tab"/>
      <w:lvlText w:val="%1."/>
      <w:rPr>
        <w:color w:val="3370ff"/>
      </w:rPr>
    </w:lvl>
  </w:abstractNum>
  <w:abstractNum w:abstractNumId="20051818">
    <w:lvl>
      <w:start w:val="4"/>
      <w:numFmt w:val="decimal"/>
      <w:suff w:val="tab"/>
      <w:lvlText w:val="%1."/>
      <w:rPr>
        <w:color w:val="3370ff"/>
      </w:rPr>
    </w:lvl>
  </w:abstractNum>
  <w:abstractNum w:abstractNumId="20051819">
    <w:lvl>
      <w:start w:val="5"/>
      <w:numFmt w:val="decimal"/>
      <w:suff w:val="tab"/>
      <w:lvlText w:val="%1."/>
      <w:rPr>
        <w:color w:val="3370ff"/>
      </w:rPr>
    </w:lvl>
  </w:abstractNum>
  <w:abstractNum w:abstractNumId="20051820">
    <w:lvl>
      <w:start w:val="1"/>
      <w:numFmt w:val="decimal"/>
      <w:suff w:val="tab"/>
      <w:lvlText w:val="%1."/>
      <w:rPr>
        <w:color w:val="3370ff"/>
      </w:rPr>
    </w:lvl>
  </w:abstractNum>
  <w:abstractNum w:abstractNumId="20051821">
    <w:lvl>
      <w:start w:val="2"/>
      <w:numFmt w:val="decimal"/>
      <w:suff w:val="tab"/>
      <w:lvlText w:val="%1."/>
      <w:rPr>
        <w:color w:val="3370ff"/>
      </w:rPr>
    </w:lvl>
  </w:abstractNum>
  <w:abstractNum w:abstractNumId="20051822">
    <w:lvl>
      <w:start w:val="3"/>
      <w:numFmt w:val="decimal"/>
      <w:suff w:val="tab"/>
      <w:lvlText w:val="%1."/>
      <w:rPr>
        <w:color w:val="3370ff"/>
      </w:rPr>
    </w:lvl>
  </w:abstractNum>
  <w:abstractNum w:abstractNumId="20051823">
    <w:lvl>
      <w:start w:val="4"/>
      <w:numFmt w:val="decimal"/>
      <w:suff w:val="tab"/>
      <w:lvlText w:val="%1."/>
      <w:rPr>
        <w:color w:val="3370ff"/>
      </w:rPr>
    </w:lvl>
  </w:abstractNum>
  <w:abstractNum w:abstractNumId="20051824">
    <w:lvl>
      <w:start w:val="1"/>
      <w:numFmt w:val="decimal"/>
      <w:suff w:val="tab"/>
      <w:lvlText w:val="%1."/>
      <w:rPr>
        <w:color w:val="3370ff"/>
      </w:rPr>
    </w:lvl>
  </w:abstractNum>
  <w:abstractNum w:abstractNumId="20051825">
    <w:lvl>
      <w:start w:val="2"/>
      <w:numFmt w:val="decimal"/>
      <w:suff w:val="tab"/>
      <w:lvlText w:val="%1."/>
      <w:rPr>
        <w:color w:val="3370ff"/>
      </w:rPr>
    </w:lvl>
  </w:abstractNum>
  <w:abstractNum w:abstractNumId="20051826">
    <w:lvl>
      <w:start w:val="3"/>
      <w:numFmt w:val="decimal"/>
      <w:suff w:val="tab"/>
      <w:lvlText w:val="%1."/>
      <w:rPr>
        <w:color w:val="3370ff"/>
      </w:rPr>
    </w:lvl>
  </w:abstractNum>
  <w:abstractNum w:abstractNumId="20051827">
    <w:lvl>
      <w:start w:val="4"/>
      <w:numFmt w:val="decimal"/>
      <w:suff w:val="tab"/>
      <w:lvlText w:val="%1."/>
      <w:rPr>
        <w:color w:val="3370ff"/>
      </w:rPr>
    </w:lvl>
  </w:abstractNum>
  <w:abstractNum w:abstractNumId="20051828">
    <w:lvl>
      <w:start w:val="5"/>
      <w:numFmt w:val="decimal"/>
      <w:suff w:val="tab"/>
      <w:lvlText w:val="%1."/>
      <w:rPr>
        <w:color w:val="3370ff"/>
      </w:rPr>
    </w:lvl>
  </w:abstractNum>
  <w:abstractNum w:abstractNumId="20051829">
    <w:lvl>
      <w:start w:val="1"/>
      <w:numFmt w:val="decimal"/>
      <w:suff w:val="tab"/>
      <w:lvlText w:val="%1."/>
      <w:rPr>
        <w:color w:val="3370ff"/>
      </w:rPr>
    </w:lvl>
  </w:abstractNum>
  <w:abstractNum w:abstractNumId="20051830">
    <w:lvl>
      <w:start w:val="2"/>
      <w:numFmt w:val="decimal"/>
      <w:suff w:val="tab"/>
      <w:lvlText w:val="%1."/>
      <w:rPr>
        <w:color w:val="3370ff"/>
      </w:rPr>
    </w:lvl>
  </w:abstractNum>
  <w:abstractNum w:abstractNumId="20051831">
    <w:lvl>
      <w:start w:val="3"/>
      <w:numFmt w:val="decimal"/>
      <w:suff w:val="tab"/>
      <w:lvlText w:val="%1."/>
      <w:rPr>
        <w:color w:val="3370ff"/>
      </w:rPr>
    </w:lvl>
  </w:abstractNum>
  <w:abstractNum w:abstractNumId="20051832">
    <w:lvl>
      <w:start w:val="4"/>
      <w:numFmt w:val="decimal"/>
      <w:suff w:val="tab"/>
      <w:lvlText w:val="%1."/>
      <w:rPr>
        <w:color w:val="3370ff"/>
      </w:rPr>
    </w:lvl>
  </w:abstractNum>
  <w:abstractNum w:abstractNumId="20051833">
    <w:lvl>
      <w:start w:val="1"/>
      <w:numFmt w:val="decimal"/>
      <w:suff w:val="tab"/>
      <w:lvlText w:val="%1."/>
      <w:rPr>
        <w:color w:val="3370ff"/>
      </w:rPr>
    </w:lvl>
  </w:abstractNum>
  <w:abstractNum w:abstractNumId="20051834">
    <w:lvl>
      <w:start w:val="2"/>
      <w:numFmt w:val="decimal"/>
      <w:suff w:val="tab"/>
      <w:lvlText w:val="%1."/>
      <w:rPr>
        <w:color w:val="3370ff"/>
      </w:rPr>
    </w:lvl>
  </w:abstractNum>
  <w:abstractNum w:abstractNumId="20051835">
    <w:lvl>
      <w:start w:val="3"/>
      <w:numFmt w:val="decimal"/>
      <w:suff w:val="tab"/>
      <w:lvlText w:val="%1."/>
      <w:rPr>
        <w:color w:val="3370ff"/>
      </w:rPr>
    </w:lvl>
  </w:abstractNum>
  <w:abstractNum w:abstractNumId="20051836">
    <w:lvl>
      <w:start w:val="4"/>
      <w:numFmt w:val="decimal"/>
      <w:suff w:val="tab"/>
      <w:lvlText w:val="%1."/>
      <w:rPr>
        <w:color w:val="3370ff"/>
      </w:rPr>
    </w:lvl>
  </w:abstractNum>
  <w:abstractNum w:abstractNumId="20051837">
    <w:lvl>
      <w:start w:val="5"/>
      <w:numFmt w:val="decimal"/>
      <w:suff w:val="tab"/>
      <w:lvlText w:val="%1."/>
      <w:rPr>
        <w:color w:val="3370ff"/>
      </w:rPr>
    </w:lvl>
  </w:abstractNum>
  <w:abstractNum w:abstractNumId="20051838">
    <w:lvl>
      <w:start w:val="6"/>
      <w:numFmt w:val="decimal"/>
      <w:suff w:val="tab"/>
      <w:lvlText w:val="%1."/>
      <w:rPr>
        <w:color w:val="3370ff"/>
      </w:rPr>
    </w:lvl>
  </w:abstractNum>
  <w:num w:numId="1">
    <w:abstractNumId w:val="20051793"/>
  </w:num>
  <w:num w:numId="2">
    <w:abstractNumId w:val="20051794"/>
  </w:num>
  <w:num w:numId="3">
    <w:abstractNumId w:val="20051795"/>
  </w:num>
  <w:num w:numId="4">
    <w:abstractNumId w:val="20051796"/>
  </w:num>
  <w:num w:numId="5">
    <w:abstractNumId w:val="20051797"/>
  </w:num>
  <w:num w:numId="6">
    <w:abstractNumId w:val="20051798"/>
  </w:num>
  <w:num w:numId="7">
    <w:abstractNumId w:val="20051799"/>
  </w:num>
  <w:num w:numId="8">
    <w:abstractNumId w:val="20051800"/>
  </w:num>
  <w:num w:numId="9">
    <w:abstractNumId w:val="20051801"/>
  </w:num>
  <w:num w:numId="10">
    <w:abstractNumId w:val="20051802"/>
  </w:num>
  <w:num w:numId="11">
    <w:abstractNumId w:val="20051803"/>
  </w:num>
  <w:num w:numId="12">
    <w:abstractNumId w:val="20051804"/>
  </w:num>
  <w:num w:numId="13">
    <w:abstractNumId w:val="20051805"/>
  </w:num>
  <w:num w:numId="14">
    <w:abstractNumId w:val="20051806"/>
  </w:num>
  <w:num w:numId="15">
    <w:abstractNumId w:val="20051807"/>
  </w:num>
  <w:num w:numId="16">
    <w:abstractNumId w:val="20051808"/>
  </w:num>
  <w:num w:numId="17">
    <w:abstractNumId w:val="20051809"/>
  </w:num>
  <w:num w:numId="18">
    <w:abstractNumId w:val="20051810"/>
  </w:num>
  <w:num w:numId="19">
    <w:abstractNumId w:val="20051811"/>
  </w:num>
  <w:num w:numId="20">
    <w:abstractNumId w:val="20051812"/>
  </w:num>
  <w:num w:numId="21">
    <w:abstractNumId w:val="20051813"/>
  </w:num>
  <w:num w:numId="22">
    <w:abstractNumId w:val="20051814"/>
  </w:num>
  <w:num w:numId="23">
    <w:abstractNumId w:val="20051815"/>
  </w:num>
  <w:num w:numId="24">
    <w:abstractNumId w:val="20051816"/>
  </w:num>
  <w:num w:numId="25">
    <w:abstractNumId w:val="20051817"/>
  </w:num>
  <w:num w:numId="26">
    <w:abstractNumId w:val="20051818"/>
  </w:num>
  <w:num w:numId="27">
    <w:abstractNumId w:val="20051819"/>
  </w:num>
  <w:num w:numId="28">
    <w:abstractNumId w:val="20051820"/>
  </w:num>
  <w:num w:numId="29">
    <w:abstractNumId w:val="20051821"/>
  </w:num>
  <w:num w:numId="30">
    <w:abstractNumId w:val="20051822"/>
  </w:num>
  <w:num w:numId="31">
    <w:abstractNumId w:val="20051823"/>
  </w:num>
  <w:num w:numId="32">
    <w:abstractNumId w:val="20051824"/>
  </w:num>
  <w:num w:numId="33">
    <w:abstractNumId w:val="20051825"/>
  </w:num>
  <w:num w:numId="34">
    <w:abstractNumId w:val="20051826"/>
  </w:num>
  <w:num w:numId="35">
    <w:abstractNumId w:val="20051827"/>
  </w:num>
  <w:num w:numId="36">
    <w:abstractNumId w:val="20051828"/>
  </w:num>
  <w:num w:numId="37">
    <w:abstractNumId w:val="20051829"/>
  </w:num>
  <w:num w:numId="38">
    <w:abstractNumId w:val="20051830"/>
  </w:num>
  <w:num w:numId="39">
    <w:abstractNumId w:val="20051831"/>
  </w:num>
  <w:num w:numId="40">
    <w:abstractNumId w:val="20051832"/>
  </w:num>
  <w:num w:numId="41">
    <w:abstractNumId w:val="20051833"/>
  </w:num>
  <w:num w:numId="42">
    <w:abstractNumId w:val="20051834"/>
  </w:num>
  <w:num w:numId="43">
    <w:abstractNumId w:val="20051835"/>
  </w:num>
  <w:num w:numId="44">
    <w:abstractNumId w:val="20051836"/>
  </w:num>
  <w:num w:numId="45">
    <w:abstractNumId w:val="20051837"/>
  </w:num>
  <w:num w:numId="46">
    <w:abstractNumId w:val="20051838"/>
  </w:num>
</w:numbering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Relationship Id="rId3" Target="footer1.xml" Type="http://schemas.openxmlformats.org/officeDocument/2006/relationships/footer"/><Relationship Id="rId4" Target="numbering.xml" Type="http://schemas.openxmlformats.org/officeDocument/2006/relationships/numbering"/><Relationship Id="rId5" Target="header1.xml" Type="http://schemas.openxmlformats.org/officeDocument/2006/relationships/header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2026-03-28T10:26:06Z</dcterms:created>
  <dc:creator>Apache POI</dc:creator>
</cp:coreProperties>
</file>