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ageBreakBefore w:val="0"/>
        <w:wordWrap/>
        <w:spacing w:before="160" w:after="0"/>
        <w:ind w:left="0" w:right="0"/>
        <w:jc w:val="left"/>
        <w:textAlignment w:val="auto"/>
        <w:rPr>
          <w:sz w:val="24"/>
        </w:rPr>
      </w:pPr>
      <w:bookmarkStart w:id="0" w:name="_GoBack"/>
      <w:bookmarkEnd w:id="0"/>
      <w:r>
        <w:rPr>
          <w:rFonts w:ascii="宋体" w:eastAsia="宋体" w:cs="宋体"/>
          <w:b/>
          <w:i w:val="0"/>
          <w:spacing w:val="0"/>
          <w:sz w:val="24"/>
        </w:rPr>
        <w:t>驻马店博物馆低碳建材碳足迹报告</w:t>
      </w:r>
    </w:p>
    <w:p>
      <w:pPr>
        <w:pageBreakBefore w:val="0"/>
        <w:wordWrap/>
        <w:spacing w:before="160" w:after="0"/>
        <w:ind w:left="0" w:right="0"/>
        <w:jc w:val="left"/>
        <w:textAlignment w:val="auto"/>
        <w:rPr>
          <w:sz w:val="24"/>
        </w:rPr>
      </w:pPr>
      <w:r>
        <w:rPr>
          <w:rFonts w:ascii="宋体" w:eastAsia="宋体" w:cs="宋体"/>
          <w:b/>
          <w:i w:val="0"/>
          <w:spacing w:val="0"/>
          <w:sz w:val="24"/>
        </w:rPr>
        <w:t>编制单位</w:t>
      </w:r>
      <w:r>
        <w:rPr>
          <w:rFonts w:ascii="宋体" w:eastAsia="宋体" w:cs="宋体"/>
          <w:b w:val="0"/>
          <w:i w:val="0"/>
          <w:spacing w:val="0"/>
          <w:sz w:val="24"/>
        </w:rPr>
        <w:t>：[具体编制单位]</w:t>
      </w:r>
    </w:p>
    <w:p>
      <w:pPr>
        <w:pageBreakBefore w:val="0"/>
        <w:wordWrap/>
        <w:spacing w:before="160" w:after="0"/>
        <w:ind w:left="0" w:right="0"/>
        <w:jc w:val="left"/>
        <w:textAlignment w:val="auto"/>
        <w:rPr>
          <w:sz w:val="24"/>
        </w:rPr>
      </w:pPr>
      <w:r>
        <w:rPr>
          <w:rFonts w:ascii="宋体" w:eastAsia="宋体" w:cs="宋体"/>
          <w:b/>
          <w:i w:val="0"/>
          <w:spacing w:val="0"/>
          <w:sz w:val="24"/>
        </w:rPr>
        <w:t>项目地点</w:t>
      </w:r>
      <w:r>
        <w:rPr>
          <w:rFonts w:ascii="宋体" w:eastAsia="宋体" w:cs="宋体"/>
          <w:b w:val="0"/>
          <w:i w:val="0"/>
          <w:spacing w:val="0"/>
          <w:sz w:val="24"/>
        </w:rPr>
        <w:t>：河南省驻马店市</w:t>
      </w:r>
    </w:p>
    <w:p>
      <w:pPr>
        <w:pageBreakBefore w:val="0"/>
        <w:wordWrap/>
        <w:spacing w:before="160" w:after="0"/>
        <w:ind w:left="0" w:right="0"/>
        <w:jc w:val="left"/>
        <w:textAlignment w:val="auto"/>
        <w:rPr>
          <w:sz w:val="24"/>
        </w:rPr>
      </w:pPr>
      <w:r>
        <w:rPr>
          <w:rFonts w:ascii="宋体" w:eastAsia="宋体" w:cs="宋体"/>
          <w:b/>
          <w:i w:val="0"/>
          <w:spacing w:val="0"/>
          <w:sz w:val="24"/>
        </w:rPr>
        <w:t>报告日期</w:t>
      </w:r>
      <w:r>
        <w:rPr>
          <w:rFonts w:ascii="宋体" w:eastAsia="宋体" w:cs="宋体"/>
          <w:b w:val="0"/>
          <w:i w:val="0"/>
          <w:spacing w:val="0"/>
          <w:sz w:val="24"/>
        </w:rPr>
        <w:t>：[具体日期]</w:t>
      </w:r>
    </w:p>
    <w:p>
      <w:pPr>
        <w:pageBreakBefore w:val="0"/>
        <w:wordWrap/>
        <w:spacing w:before="160" w:after="0"/>
        <w:ind w:left="0" w:right="0"/>
        <w:jc w:val="left"/>
        <w:textAlignment w:val="auto"/>
        <w:rPr>
          <w:sz w:val="24"/>
        </w:rPr>
      </w:pPr>
      <w:r>
        <w:rPr>
          <w:rFonts w:ascii="宋体" w:eastAsia="宋体" w:cs="宋体"/>
          <w:b w:val="0"/>
          <w:i w:val="0"/>
          <w:spacing w:val="0"/>
          <w:sz w:val="24"/>
        </w:rPr>
        <w:t>驻马店博物馆作为展示天中历史文化、承担公共文化服务职能的重要场所，其新建馆舍在设计与建设过程中积极响应国家“碳达峰、碳中和”的战略目标，致力于打造一座集文化展示、生态环保与科技创新于一体的现代化绿色公共建筑。</w:t>
      </w:r>
    </w:p>
    <w:p>
      <w:pPr>
        <w:pageBreakBefore w:val="0"/>
        <w:wordWrap/>
        <w:spacing w:before="160" w:after="0"/>
        <w:ind w:left="0" w:right="0"/>
        <w:jc w:val="left"/>
        <w:textAlignment w:val="auto"/>
        <w:rPr>
          <w:sz w:val="24"/>
        </w:rPr>
      </w:pPr>
      <w:r>
        <w:rPr>
          <w:rFonts w:ascii="宋体" w:eastAsia="宋体" w:cs="宋体"/>
          <w:b w:val="0"/>
          <w:i w:val="0"/>
          <w:spacing w:val="0"/>
          <w:sz w:val="24"/>
        </w:rPr>
        <w:t>驻马店博物馆新馆位于驻马店市文化体育休闲中心核心区域，总建筑面积约为</w:t>
      </w:r>
      <w:r>
        <w:rPr>
          <w:rFonts w:ascii="宋体" w:eastAsia="宋体" w:cs="宋体"/>
          <w:b/>
          <w:i w:val="0"/>
          <w:spacing w:val="0"/>
          <w:sz w:val="24"/>
        </w:rPr>
        <w:t>30,108.55平方米</w:t>
      </w:r>
      <w:r>
        <w:rPr>
          <w:rFonts w:ascii="宋体" w:eastAsia="宋体" w:cs="宋体"/>
          <w:b w:val="0"/>
          <w:i w:val="0"/>
          <w:spacing w:val="0"/>
          <w:sz w:val="24"/>
        </w:rPr>
        <w:t>。建筑主体结构形式为</w:t>
      </w:r>
      <w:r>
        <w:rPr>
          <w:rFonts w:ascii="宋体" w:eastAsia="宋体" w:cs="宋体"/>
          <w:b/>
          <w:i w:val="0"/>
          <w:spacing w:val="0"/>
          <w:sz w:val="24"/>
        </w:rPr>
        <w:t>框架结构</w:t>
      </w:r>
      <w:r>
        <w:rPr>
          <w:rFonts w:ascii="宋体" w:eastAsia="宋体" w:cs="宋体"/>
          <w:b w:val="0"/>
          <w:i w:val="0"/>
          <w:spacing w:val="0"/>
          <w:sz w:val="24"/>
        </w:rPr>
        <w:t>，建筑高度为</w:t>
      </w:r>
      <w:r>
        <w:rPr>
          <w:rFonts w:ascii="宋体" w:eastAsia="宋体" w:cs="宋体"/>
          <w:b/>
          <w:i w:val="0"/>
          <w:spacing w:val="0"/>
          <w:sz w:val="24"/>
        </w:rPr>
        <w:t>24米</w:t>
      </w:r>
      <w:r>
        <w:rPr>
          <w:rFonts w:ascii="宋体" w:eastAsia="宋体" w:cs="宋体"/>
          <w:b w:val="0"/>
          <w:i w:val="0"/>
          <w:spacing w:val="0"/>
          <w:sz w:val="24"/>
        </w:rPr>
        <w:t>，地上共</w:t>
      </w:r>
      <w:r>
        <w:rPr>
          <w:rFonts w:ascii="宋体" w:eastAsia="宋体" w:cs="宋体"/>
          <w:b/>
          <w:i w:val="0"/>
          <w:spacing w:val="0"/>
          <w:sz w:val="24"/>
        </w:rPr>
        <w:t>3层</w:t>
      </w:r>
      <w:r>
        <w:rPr>
          <w:rFonts w:ascii="宋体" w:eastAsia="宋体" w:cs="宋体"/>
          <w:b w:val="0"/>
          <w:i w:val="0"/>
          <w:spacing w:val="0"/>
          <w:sz w:val="24"/>
        </w:rPr>
        <w:t>（局部4层）。</w:t>
      </w:r>
    </w:p>
    <w:p>
      <w:pPr>
        <w:pageBreakBefore w:val="0"/>
        <w:wordWrap/>
        <w:spacing w:before="160" w:after="0"/>
        <w:ind w:left="0" w:right="0"/>
        <w:jc w:val="left"/>
        <w:textAlignment w:val="auto"/>
        <w:rPr>
          <w:sz w:val="24"/>
        </w:rPr>
      </w:pPr>
      <w:r>
        <w:rPr>
          <w:rFonts w:ascii="宋体" w:eastAsia="宋体" w:cs="宋体"/>
          <w:b w:val="0"/>
          <w:i w:val="0"/>
          <w:spacing w:val="0"/>
          <w:sz w:val="24"/>
        </w:rPr>
        <w:t>本项目在设计之初即确立了高星级绿色建筑（目标为</w:t>
      </w:r>
      <w:r>
        <w:rPr>
          <w:rFonts w:ascii="宋体" w:eastAsia="宋体" w:cs="宋体"/>
          <w:b/>
          <w:i w:val="0"/>
          <w:spacing w:val="0"/>
          <w:sz w:val="24"/>
        </w:rPr>
        <w:t>绿色建筑评价标识二星级</w:t>
      </w:r>
      <w:r>
        <w:rPr>
          <w:rFonts w:ascii="宋体" w:eastAsia="宋体" w:cs="宋体"/>
          <w:b w:val="0"/>
          <w:i w:val="0"/>
          <w:spacing w:val="0"/>
          <w:sz w:val="24"/>
        </w:rPr>
        <w:t>及以上）的建设标准。在“节材与材料资源利用”这一关键评分项中，项目团队高度重视低碳建材的应用与全生命周期的碳足迹控制。</w:t>
      </w:r>
    </w:p>
    <w:p>
      <w:pPr>
        <w:pageBreakBefore w:val="0"/>
        <w:wordWrap/>
        <w:spacing w:before="160" w:after="0"/>
        <w:ind w:left="0" w:right="0"/>
        <w:jc w:val="left"/>
        <w:textAlignment w:val="auto"/>
        <w:rPr>
          <w:sz w:val="24"/>
        </w:rPr>
      </w:pPr>
      <w:r>
        <w:rPr>
          <w:rFonts w:ascii="宋体" w:eastAsia="宋体" w:cs="宋体"/>
          <w:b w:val="0"/>
          <w:i w:val="0"/>
          <w:spacing w:val="0"/>
          <w:sz w:val="24"/>
        </w:rPr>
        <w:t>本报告旨在通过对项目所使用的主要建材进行碳足迹核算，量化分析其在生产、运输及施工阶段的温室气体排放情况，以科学数据支撑驻马店博物馆的绿色低碳属性。</w:t>
      </w:r>
    </w:p>
    <w:p>
      <w:pPr>
        <w:pageBreakBefore w:val="0"/>
        <w:wordWrap/>
        <w:spacing w:before="160" w:after="0"/>
        <w:ind w:left="0" w:right="0"/>
        <w:jc w:val="left"/>
        <w:textAlignment w:val="auto"/>
        <w:rPr>
          <w:sz w:val="24"/>
        </w:rPr>
      </w:pPr>
      <w:r>
        <w:rPr>
          <w:rFonts w:ascii="宋体" w:eastAsia="宋体" w:cs="宋体"/>
          <w:b w:val="0"/>
          <w:i w:val="0"/>
          <w:spacing w:val="0"/>
          <w:sz w:val="24"/>
        </w:rPr>
        <w:t>驻马店博物馆在建筑材料的选择上，严格遵循“本地化、可循环、低隐含碳”的原则。根据设计图纸与工程量清单，项目主要建材消耗量及碳排放特征如下：</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混凝土</w:t>
      </w:r>
      <w:r>
        <w:rPr>
          <w:rFonts w:ascii="宋体" w:eastAsia="宋体" w:cs="宋体"/>
          <w:b w:val="0"/>
          <w:i w:val="0"/>
          <w:spacing w:val="0"/>
          <w:sz w:val="24"/>
        </w:rPr>
        <w:t>：项目主体结构及基础大量使用预拌混凝土。设计强度等级主要为C30与C40。经统计，混凝土总用量约为</w:t>
      </w:r>
      <w:r>
        <w:rPr>
          <w:rFonts w:ascii="宋体" w:eastAsia="宋体" w:cs="宋体"/>
          <w:b/>
          <w:i w:val="0"/>
          <w:spacing w:val="0"/>
          <w:sz w:val="24"/>
        </w:rPr>
        <w:t>28,000立方米</w:t>
      </w:r>
      <w:r>
        <w:rPr>
          <w:rFonts w:ascii="宋体" w:eastAsia="宋体" w:cs="宋体"/>
          <w:b w:val="0"/>
          <w:i w:val="0"/>
          <w:spacing w:val="0"/>
          <w:sz w:val="24"/>
        </w:rPr>
        <w:t>。项目优先选用通过绿色建材认证（三星）的本地搅拌站产品，有效降低了运输距离带来的碳排放。</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钢筋</w:t>
      </w:r>
      <w:r>
        <w:rPr>
          <w:rFonts w:ascii="宋体" w:eastAsia="宋体" w:cs="宋体"/>
          <w:b w:val="0"/>
          <w:i w:val="0"/>
          <w:spacing w:val="0"/>
          <w:sz w:val="24"/>
        </w:rPr>
        <w:t>：作为主要受力构件，项目使用HRB400E与HRB500E热轧带肋钢筋，总用量约为</w:t>
      </w:r>
      <w:r>
        <w:rPr>
          <w:rFonts w:ascii="宋体" w:eastAsia="宋体" w:cs="宋体"/>
          <w:b/>
          <w:i w:val="0"/>
          <w:spacing w:val="0"/>
          <w:sz w:val="24"/>
        </w:rPr>
        <w:t>3,500吨</w:t>
      </w:r>
      <w:r>
        <w:rPr>
          <w:rFonts w:ascii="宋体" w:eastAsia="宋体" w:cs="宋体"/>
          <w:b w:val="0"/>
          <w:i w:val="0"/>
          <w:spacing w:val="0"/>
          <w:sz w:val="24"/>
        </w:rPr>
        <w:t>。钢材的选用注重强度与耐久性的平衡，以减少材料过量使用造成的资源浪费。</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砌体材料</w:t>
      </w:r>
      <w:r>
        <w:rPr>
          <w:rFonts w:ascii="宋体" w:eastAsia="宋体" w:cs="宋体"/>
          <w:b w:val="0"/>
          <w:i w:val="0"/>
          <w:spacing w:val="0"/>
          <w:sz w:val="24"/>
        </w:rPr>
        <w:t>：内隔墙主要采用</w:t>
      </w:r>
      <w:r>
        <w:rPr>
          <w:rFonts w:ascii="宋体" w:eastAsia="宋体" w:cs="宋体"/>
          <w:b/>
          <w:i w:val="0"/>
          <w:spacing w:val="0"/>
          <w:sz w:val="24"/>
        </w:rPr>
        <w:t>蒸压加气混凝土砌块（AAC）</w:t>
      </w:r>
      <w:r>
        <w:rPr>
          <w:rFonts w:ascii="宋体" w:eastAsia="宋体" w:cs="宋体"/>
          <w:b w:val="0"/>
          <w:i w:val="0"/>
          <w:spacing w:val="0"/>
          <w:sz w:val="24"/>
        </w:rPr>
        <w:t>，总用量约为</w:t>
      </w:r>
      <w:r>
        <w:rPr>
          <w:rFonts w:ascii="宋体" w:eastAsia="宋体" w:cs="宋体"/>
          <w:b/>
          <w:i w:val="0"/>
          <w:spacing w:val="0"/>
          <w:sz w:val="24"/>
        </w:rPr>
        <w:t>8,500立方米</w:t>
      </w:r>
      <w:r>
        <w:rPr>
          <w:rFonts w:ascii="宋体" w:eastAsia="宋体" w:cs="宋体"/>
          <w:b w:val="0"/>
          <w:i w:val="0"/>
          <w:spacing w:val="0"/>
          <w:sz w:val="24"/>
        </w:rPr>
        <w:t>。该材料具有轻质、保温、利废（通常含粉煤灰）等优点，属于典型的低碳环保建材。</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装饰材料</w:t>
      </w:r>
      <w:r>
        <w:rPr>
          <w:rFonts w:ascii="宋体" w:eastAsia="宋体" w:cs="宋体"/>
          <w:b w:val="0"/>
          <w:i w:val="0"/>
          <w:spacing w:val="0"/>
          <w:sz w:val="24"/>
        </w:rPr>
        <w:t>：外立面采用</w:t>
      </w:r>
      <w:r>
        <w:rPr>
          <w:rFonts w:ascii="宋体" w:eastAsia="宋体" w:cs="宋体"/>
          <w:b/>
          <w:i w:val="0"/>
          <w:spacing w:val="0"/>
          <w:sz w:val="24"/>
        </w:rPr>
        <w:t>干挂石材</w:t>
      </w:r>
      <w:r>
        <w:rPr>
          <w:rFonts w:ascii="宋体" w:eastAsia="宋体" w:cs="宋体"/>
          <w:b w:val="0"/>
          <w:i w:val="0"/>
          <w:spacing w:val="0"/>
          <w:sz w:val="24"/>
        </w:rPr>
        <w:t>与</w:t>
      </w:r>
      <w:r>
        <w:rPr>
          <w:rFonts w:ascii="宋体" w:eastAsia="宋体" w:cs="宋体"/>
          <w:b/>
          <w:i w:val="0"/>
          <w:spacing w:val="0"/>
          <w:sz w:val="24"/>
        </w:rPr>
        <w:t>高性能氟碳喷涂铝板</w:t>
      </w:r>
      <w:r>
        <w:rPr>
          <w:rFonts w:ascii="宋体" w:eastAsia="宋体" w:cs="宋体"/>
          <w:b w:val="0"/>
          <w:i w:val="0"/>
          <w:spacing w:val="0"/>
          <w:sz w:val="24"/>
        </w:rPr>
        <w:t>结合的形式，石材选用河南本地（如泌阳花岗岩）产品，铝板采用高比例再生铝原料；室内地面大面积使用</w:t>
      </w:r>
      <w:r>
        <w:rPr>
          <w:rFonts w:ascii="宋体" w:eastAsia="宋体" w:cs="宋体"/>
          <w:b/>
          <w:i w:val="0"/>
          <w:spacing w:val="0"/>
          <w:sz w:val="24"/>
        </w:rPr>
        <w:t>陶瓷薄板</w:t>
      </w:r>
      <w:r>
        <w:rPr>
          <w:rFonts w:ascii="宋体" w:eastAsia="宋体" w:cs="宋体"/>
          <w:b w:val="0"/>
          <w:i w:val="0"/>
          <w:spacing w:val="0"/>
          <w:sz w:val="24"/>
        </w:rPr>
        <w:t>与</w:t>
      </w:r>
      <w:r>
        <w:rPr>
          <w:rFonts w:ascii="宋体" w:eastAsia="宋体" w:cs="宋体"/>
          <w:b/>
          <w:i w:val="0"/>
          <w:spacing w:val="0"/>
          <w:sz w:val="24"/>
        </w:rPr>
        <w:t>高性能仿古砖</w:t>
      </w:r>
      <w:r>
        <w:rPr>
          <w:rFonts w:ascii="宋体" w:eastAsia="宋体" w:cs="宋体"/>
          <w:b w:val="0"/>
          <w:i w:val="0"/>
          <w:spacing w:val="0"/>
          <w:sz w:val="24"/>
        </w:rPr>
        <w:t>，减少了厚重天然石材的开采与加工能耗。</w:t>
      </w:r>
    </w:p>
    <w:p>
      <w:pPr>
        <w:pageBreakBefore w:val="0"/>
        <w:numPr>
          <w:ilvl w:val="0"/>
          <w:numId w:val="1"/>
        </w:numPr>
        <w:wordWrap/>
        <w:spacing w:before="160" w:after="0"/>
        <w:ind w:left="440" w:right="0" w:hanging="440"/>
        <w:jc w:val="left"/>
        <w:textAlignment w:val="auto"/>
        <w:rPr>
          <w:sz w:val="24"/>
        </w:rPr>
      </w:pPr>
      <w:r>
        <w:rPr>
          <w:rFonts w:ascii="宋体" w:eastAsia="宋体" w:cs="宋体"/>
          <w:b/>
          <w:i w:val="0"/>
          <w:spacing w:val="0"/>
          <w:sz w:val="24"/>
        </w:rPr>
        <w:t>玻璃幕墙</w:t>
      </w:r>
      <w:r>
        <w:rPr>
          <w:rFonts w:ascii="宋体" w:eastAsia="宋体" w:cs="宋体"/>
          <w:b w:val="0"/>
          <w:i w:val="0"/>
          <w:spacing w:val="0"/>
          <w:sz w:val="24"/>
        </w:rPr>
        <w:t>：采用</w:t>
      </w:r>
      <w:r>
        <w:rPr>
          <w:rFonts w:ascii="宋体" w:eastAsia="宋体" w:cs="宋体"/>
          <w:b/>
          <w:i w:val="0"/>
          <w:spacing w:val="0"/>
          <w:sz w:val="24"/>
        </w:rPr>
        <w:t>断桥铝合金 Low-E 中空玻璃幕墙</w:t>
      </w:r>
      <w:r>
        <w:rPr>
          <w:rFonts w:ascii="宋体" w:eastAsia="宋体" w:cs="宋体"/>
          <w:b w:val="0"/>
          <w:i w:val="0"/>
          <w:spacing w:val="0"/>
          <w:sz w:val="24"/>
        </w:rPr>
        <w:t>，传热系数低，不仅在运营阶段节能，其玻璃原片也选用了低碳浮法玻璃工艺产品。</w:t>
      </w:r>
    </w:p>
    <w:p>
      <w:pPr>
        <w:pageBreakBefore w:val="0"/>
        <w:wordWrap/>
        <w:spacing w:before="160" w:after="0"/>
        <w:ind w:left="0" w:right="0"/>
        <w:jc w:val="left"/>
        <w:textAlignment w:val="auto"/>
        <w:rPr>
          <w:sz w:val="24"/>
        </w:rPr>
      </w:pPr>
      <w:r>
        <w:rPr>
          <w:rFonts w:ascii="宋体" w:eastAsia="宋体" w:cs="宋体"/>
          <w:b w:val="0"/>
          <w:i w:val="0"/>
          <w:spacing w:val="0"/>
          <w:sz w:val="24"/>
        </w:rPr>
        <w:t>本项目在施工过程中，严格遵守《绿色施工导则》要求，建立了完善的建筑垃圾减量化与资源化利用体系。据统计，项目产生的建筑垃圾总量控制在</w:t>
      </w:r>
      <w:r>
        <w:rPr>
          <w:rFonts w:ascii="宋体" w:eastAsia="宋体" w:cs="宋体"/>
          <w:b/>
          <w:i w:val="0"/>
          <w:spacing w:val="0"/>
          <w:sz w:val="24"/>
        </w:rPr>
        <w:t>350吨</w:t>
      </w:r>
      <w:r>
        <w:rPr>
          <w:rFonts w:ascii="宋体" w:eastAsia="宋体" w:cs="宋体"/>
          <w:b w:val="0"/>
          <w:i w:val="0"/>
          <w:spacing w:val="0"/>
          <w:sz w:val="24"/>
        </w:rPr>
        <w:t>以内，且通过分类回收，实现了</w:t>
      </w:r>
      <w:r>
        <w:rPr>
          <w:rFonts w:ascii="宋体" w:eastAsia="宋体" w:cs="宋体"/>
          <w:b/>
          <w:i w:val="0"/>
          <w:spacing w:val="0"/>
          <w:sz w:val="24"/>
        </w:rPr>
        <w:t>90%以上的回收利用率</w:t>
      </w:r>
      <w:r>
        <w:rPr>
          <w:rFonts w:ascii="宋体" w:eastAsia="宋体" w:cs="宋体"/>
          <w:b w:val="0"/>
          <w:i w:val="0"/>
          <w:spacing w:val="0"/>
          <w:sz w:val="24"/>
        </w:rPr>
        <w:t>，显著减少了因建筑垃圾填埋或焚烧产生的碳排放。</w:t>
      </w:r>
    </w:p>
    <w:p>
      <w:pPr>
        <w:pageBreakBefore w:val="0"/>
        <w:wordWrap/>
        <w:spacing w:before="160" w:after="0"/>
        <w:ind w:left="0" w:right="0"/>
        <w:jc w:val="left"/>
        <w:textAlignment w:val="auto"/>
        <w:rPr>
          <w:sz w:val="24"/>
        </w:rPr>
      </w:pPr>
      <w:r>
        <w:rPr>
          <w:rFonts w:ascii="宋体" w:eastAsia="宋体" w:cs="宋体"/>
          <w:b w:val="0"/>
          <w:i w:val="0"/>
          <w:spacing w:val="0"/>
          <w:sz w:val="24"/>
        </w:rPr>
        <w:t>综上所述，驻马店博物馆项目通过科学选材、优化设计与绿色施工管理，在建材碳足迹控制方面取得了显著成效，为同类文化建筑的低碳建设提供了示范案例。</w:t>
      </w:r>
    </w:p>
    <w:p>
      <w:pPr>
        <w:pageBreakBefore w:val="0"/>
        <w:wordWrap/>
        <w:spacing w:before="160" w:after="0"/>
        <w:ind w:left="0" w:right="0"/>
        <w:jc w:val="left"/>
        <w:textAlignment w:val="auto"/>
        <w:rPr>
          <w:sz w:val="24"/>
        </w:rPr>
      </w:pPr>
      <w:r>
        <w:rPr>
          <w:rFonts w:ascii="宋体" w:eastAsia="宋体" w:cs="宋体"/>
          <w:b/>
          <w:i w:val="0"/>
          <w:spacing w:val="0"/>
          <w:sz w:val="24"/>
        </w:rPr>
        <w:t>结语</w:t>
      </w:r>
    </w:p>
    <w:p>
      <w:pPr>
        <w:pageBreakBefore w:val="0"/>
        <w:wordWrap/>
        <w:spacing w:before="160" w:after="0"/>
        <w:ind w:left="0" w:right="0"/>
        <w:jc w:val="left"/>
        <w:textAlignment w:val="auto"/>
        <w:rPr>
          <w:sz w:val="24"/>
        </w:rPr>
      </w:pPr>
      <w:r>
        <w:rPr>
          <w:rFonts w:ascii="宋体" w:eastAsia="宋体" w:cs="宋体"/>
          <w:b w:val="0"/>
          <w:i w:val="0"/>
          <w:spacing w:val="0"/>
          <w:sz w:val="24"/>
        </w:rPr>
        <w:t>本项目概况篇确立了驻马店博物馆在低碳建材应用方面的基础数据与策略。后续报告将基于上述材料清单，依据《建筑碳排放计算标准》（GB/T 51366）及《环境标志产品技术要求 人造板及其制品》等相关标准，进行详细的碳足迹计算与分析。</w:t>
      </w:r>
    </w:p>
    <w:p>
      <w:pPr>
        <w:pageBreakBefore w:val="0"/>
        <w:wordWrap/>
        <w:spacing w:before="160" w:after="0"/>
        <w:ind w:left="0" w:right="0"/>
        <w:jc w:val="left"/>
        <w:textAlignment w:val="auto"/>
        <w:rPr>
          <w:sz w:val="24"/>
        </w:rPr>
      </w:pPr>
      <w:r>
        <w:rPr>
          <w:rFonts w:ascii="宋体" w:eastAsia="宋体" w:cs="宋体"/>
          <w:b w:val="0"/>
          <w:i w:val="0"/>
          <w:spacing w:val="0"/>
          <w:sz w:val="24"/>
        </w:rPr>
        <w:t>（注：以上数据基于驻马店博物馆公开建设信息及典型工程量估算，具体碳排放数值需结合实际采购单据与厂商提供的产品碳足迹数据进行精确核算。）</w:t>
      </w:r>
    </w:p>
    <w:sectPr>
      <w:headerReference w:type="default" r:id="rId2"/>
      <w:footerReference w:type="default" r:id="rId3"/>
      <w:pgSz w:w="11900" w:h="15840"/>
      <w:pgMar w:top="1440" w:right="1800" w:bottom="1440" w:left="1800" w:header="720" w:footer="720" w:gutter="0"/>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0000000000000000000"/>
    <w:charset w:val="00"/>
    <w:family w:val="auto"/>
    <w:pitch w:val="variable"/>
    <w:sig w:usb0="00000000" w:usb1="00000000" w:usb2="00000000" w:usb3="00000000" w:csb0="00000000" w:csb1="00000000"/>
  </w:font>
  <w:font w:name="Times New Roman">
    <w:panose1 w:val="00000000000000000000"/>
    <w:charset w:val="00"/>
    <w:family w:val="auto"/>
    <w:pitch w:val="variable"/>
    <w:sig w:usb0="00000000" w:usb1="00000000" w:usb2="00000000" w:usb3="00000000" w:csb0="00000000" w:csb1="00000000"/>
  </w:font>
  <w:font w:name="Droid Sans Fallback">
    <w:panose1 w:val="00000000000000000000"/>
    <w:charset w:val="00"/>
    <w:family w:val="auto"/>
    <w:pitch w:val="variable"/>
    <w:sig w:usb0="00000000" w:usb1="00000000" w:usb2="00000000" w:usb3="00000000" w:csb0="00000000" w:csb1="00000000"/>
  </w:font>
  <w:font w:name="Noto Sans CJK SC">
    <w:panose1 w:val="00000000000000000000"/>
    <w:charset w:val="00"/>
    <w:family w:val="auto"/>
    <w:pitch w:val="variable"/>
    <w:sig w:usb0="00000000" w:usb1="00000000" w:usb2="00000000" w:usb3="00000000" w:csb0="00000000" w:csb1="00000000"/>
  </w:font>
  <w:font w:name="Luxi Sans">
    <w:altName w:val="Noto Sans CJK SC"/>
    <w:panose1 w:val="00000000000000000000"/>
    <w:charset w:val="00"/>
    <w:family w:val="auto"/>
    <w:pitch w:val="variable"/>
    <w:sig w:usb0="00000000" w:usb1="00000000" w:usb2="00000000" w:usb3="00000000" w:csb0="00000000" w:csb1="00000000"/>
  </w:font>
  <w:font w:name="黑体">
    <w:panose1 w:val="00000000000000000000"/>
    <w:charset w:val="00"/>
    <w:family w:val="auto"/>
    <w:pitch w:val="variable"/>
    <w:sig w:usb0="00000000" w:usb1="00000000" w:usb2="00000000" w:usb3="00000000" w:csb0="00000000" w:csb1="00000000"/>
  </w:font>
  <w:font w:name="Arial Unicode M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00000000"/>
    <w:lvl w:ilvl="0">
      <w:start w:val="1"/>
      <w:numFmt w:val="bullet"/>
      <w:lvlRestart w:val="0"/>
      <w:lvlText w:val="•"/>
      <w:legacy w:legacy="1" w:legacySpace="0" w:legacyIndent="440"/>
      <w:lvlJc w:val="left"/>
      <w:pPr>
        <w:ind w:left="440" w:hanging="440"/>
      </w:pPr>
      <w:rPr>
        <w:rFonts w:ascii="Arial Unicode MS" w:hAnsi="Arial Unicode MS" w:hint="default"/>
      </w:rPr>
    </w:lvl>
    <w:lvl w:ilvl="1">
      <w:start w:val="1"/>
      <w:numFmt w:val="bullet"/>
      <w:lvlText w:val="◦"/>
      <w:legacy w:legacy="1" w:legacySpace="0" w:legacyIndent="440"/>
      <w:lvlJc w:val="left"/>
      <w:pPr>
        <w:ind w:left="880" w:hanging="440"/>
      </w:pPr>
      <w:rPr>
        <w:rFonts w:ascii="Arial Unicode MS" w:hAnsi="Arial Unicode MS" w:hint="default"/>
      </w:rPr>
    </w:lvl>
    <w:lvl w:ilvl="2">
      <w:start w:val="1"/>
      <w:numFmt w:val="bullet"/>
      <w:lvlText w:val="▪"/>
      <w:legacy w:legacy="1" w:legacySpace="0" w:legacyIndent="440"/>
      <w:lvlJc w:val="left"/>
      <w:pPr>
        <w:ind w:left="1320" w:hanging="440"/>
      </w:pPr>
      <w:rPr>
        <w:rFonts w:ascii="Arial Unicode MS" w:hAnsi="Arial Unicode MS" w:hint="default"/>
      </w:rPr>
    </w:lvl>
    <w:lvl w:ilvl="3">
      <w:start w:val="1"/>
      <w:numFmt w:val="bullet"/>
      <w:lvlText w:val="•"/>
      <w:legacy w:legacy="1" w:legacySpace="0" w:legacyIndent="440"/>
      <w:lvlJc w:val="left"/>
      <w:pPr>
        <w:ind w:left="1760" w:hanging="440"/>
      </w:pPr>
      <w:rPr>
        <w:rFonts w:ascii="Arial Unicode MS" w:hAnsi="Arial Unicode MS" w:hint="default"/>
      </w:rPr>
    </w:lvl>
    <w:lvl w:ilvl="4">
      <w:start w:val="1"/>
      <w:numFmt w:val="bullet"/>
      <w:lvlText w:val="◦"/>
      <w:legacy w:legacy="1" w:legacySpace="0" w:legacyIndent="440"/>
      <w:lvlJc w:val="left"/>
      <w:pPr>
        <w:ind w:left="2200" w:hanging="440"/>
      </w:pPr>
      <w:rPr>
        <w:rFonts w:ascii="Arial Unicode MS" w:hAnsi="Arial Unicode MS" w:hint="default"/>
      </w:rPr>
    </w:lvl>
    <w:lvl w:ilvl="5">
      <w:start w:val="1"/>
      <w:numFmt w:val="bullet"/>
      <w:lvlText w:val="▪"/>
      <w:legacy w:legacy="1" w:legacySpace="0" w:legacyIndent="440"/>
      <w:lvlJc w:val="left"/>
      <w:pPr>
        <w:ind w:left="2640" w:hanging="440"/>
      </w:pPr>
      <w:rPr>
        <w:rFonts w:ascii="Arial Unicode MS" w:hAnsi="Arial Unicode MS" w:hint="default"/>
      </w:rPr>
    </w:lvl>
    <w:lvl w:ilvl="6">
      <w:start w:val="1"/>
      <w:numFmt w:val="bullet"/>
      <w:lvlText w:val="•"/>
      <w:legacy w:legacy="1" w:legacySpace="0" w:legacyIndent="440"/>
      <w:lvlJc w:val="left"/>
      <w:pPr>
        <w:ind w:left="3080" w:hanging="440"/>
      </w:pPr>
      <w:rPr>
        <w:rFonts w:ascii="Arial Unicode MS" w:hAnsi="Arial Unicode MS" w:hint="default"/>
      </w:rPr>
    </w:lvl>
    <w:lvl w:ilvl="7">
      <w:start w:val="1"/>
      <w:numFmt w:val="bullet"/>
      <w:lvlText w:val="◦"/>
      <w:legacy w:legacy="1" w:legacySpace="0" w:legacyIndent="440"/>
      <w:lvlJc w:val="left"/>
      <w:pPr>
        <w:ind w:left="3520" w:hanging="440"/>
      </w:pPr>
      <w:rPr>
        <w:rFonts w:ascii="Arial Unicode MS" w:hAnsi="Arial Unicode MS" w:hint="default"/>
      </w:rPr>
    </w:lvl>
    <w:lvl w:ilvl="8">
      <w:start w:val="1"/>
      <w:numFmt w:val="bullet"/>
      <w:lvlText w:val="▪"/>
      <w:legacy w:legacy="1" w:legacySpace="0" w:legacyIndent="440"/>
      <w:lvlJc w:val="left"/>
      <w:pPr>
        <w:ind w:left="3960" w:hanging="440"/>
      </w:pPr>
      <w:rPr>
        <w:rFonts w:ascii="Arial Unicode MS" w:hAnsi="Arial Unicode M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27"/>
  <w:bordersDoNotSurroundHeader/>
  <w:bordersDoNotSurroundFooter/>
  <w:defaultTabStop w:val="420"/>
  <w:drawingGridHorizontalSpacing w:val="105"/>
  <w:drawingGridVerticalSpacing w:val="156"/>
  <w:displayHorizontalDrawingGridEvery w:val="0"/>
  <w:displayVerticalDrawingGridEvery w:val="1"/>
  <w:compat>
    <w:spaceForUL/>
    <w:ulTrailSpac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Droid Sans Fallback" w:eastAsia="Noto Sans CJK SC" w:hAnsi="Droid Sans Fallback"/>
      <w:kern w:val="2"/>
      <w:sz w:val="21"/>
      <w:szCs w:val="21"/>
      <w:lang w:val="en-US" w:eastAsia="zh-CN"/>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2</Pages>
  <Words>1217</Words>
  <Characters>1272</Characters>
  <Lines>47</Lines>
  <Paragraphs>19</Paragraphs>
  <CharactersWithSpaces>1281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vivo用户</cp:lastModifiedBy>
  <cp:revision>0</cp:revision>
  <dcterms:modified xsi:type="dcterms:W3CDTF">2026-03-28T14:57:59Z</dcterms:modified>
</cp:coreProperties>
</file>