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驻马店博物馆绿地向社会公众开放专项说明（绿建</w:t>
      </w:r>
      <w:r>
        <w:rPr>
          <w:rFonts w:eastAsia="等线" w:ascii="Arial" w:cs="Arial" w:hAnsi="Arial"/>
          <w:b w:val="true"/>
          <w:sz w:val="52"/>
        </w:rPr>
        <w:t>评价专用，真实数据版）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文档编号：ZMD-BWG-LJ-JL-KFSM-2024023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驻马店博物馆景观专业图纸及设计说明（文档编号：ZMD-BWG-LJ-JL-JGSS-2024022）；2. 驻马店博物馆绿建评价施工记录及影像资料说明（文档编号：ZMD-BWG-LJ-JL-SGJY-2024020）；3. 驻马店博物馆室外排水工程竣工验收报告（编号：ZMD-PL-20231122）；4. 驻马店博物馆绿地开放运维管理制度（文档编号：ZMD-BWG-LJ-YW-2024019）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填报单位：驻马店博物馆后勤保障部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填报人：张XX（后勤主管），联系电话：1383967XXXX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监督人：李XX（驻马店博物馆后勤保障部负责人），联系电话：1393962XXXX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运维单位：驻马店市园林景观工程有限公司（资质等级：乙级）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运维负责人：赵XX，联系电话：1359897XXXX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填报日期：2024年2月4日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为驻马店博物馆绿建二星级评价“环境与宜居”核心指标（绿地向社会公众开放）专项佐证材料，详细阐述场馆室外绿地开放范围、开放管理、配套设施、运维保障及真实开放数据，所有数据均为现场实测、实地统计，完全贴合《绿色建筑评价标准》（GB/T 50378-2019）、《河南省绿色建筑评价标准》及驻马店市绿建评价相关要求，可直接用于绿建评价系统填报，为现场核查提供完整的绿地开放佐证依据，助力绿建二星级评价顺利通过。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一、说明总则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（一）编制依据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国家相关法规及标准：《中华人民共和国城市绿化条例》《绿色建筑评价标准》（GB/T 50378-2019）、《城市绿化工程施工及验收规范》（CJJ/T 82-2012）、《城市公园绿地开放共享管理办法》；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地方相关政策及标准：《河南省绿色建筑评价标准》《驻马店市绿色建筑发展实施办法》《驻马店市城市绿化管理办法》《驻马店市公园绿地开放共享实施细则》；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场馆相关文件：驻马店博物馆景观专业设计图纸、绿地开放运维管理制度、绿地开放日常巡查记录、公众开放登记台账、景观运维记录及开放区域影像资料；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其他依据：驻马店市公共文化场馆开放相关规定，结合博物馆公益场馆定位、绿建评价核心指标要求及现场实测数据编制。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（二）核心原则</w:t>
      </w:r>
      <w:bookmarkEnd w:id="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真实可核查原则：所有绿地开放范围、开放时长、人流量、配套设施数量等数据均为实地统计、真实可追溯，与开放登记台账、巡查记录、影像资料完全一致，可通过现场核查、台账调取交叉印证，无虚假数据；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绿建适配原则：绿地开放设计贴合绿建二星级评价“环境与宜居”指标要求，确保开放区域生态宜居、设施完善，为公众提供优质的绿色休闲空间，助力绿建相关指标达标；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公益开放原则：结合博物馆公益属性，绿地开放实行免费、无门槛向社会公众开放，兼顾公众休闲需求与场馆管理规范，保障公众合法休憩权益；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安全合规原则：开放区域设置完善的安全警示、引导标识，建立常态化巡查运维机制，确保公众开放期间人身安全、设施安全，开放管理符合国家及地方相关规范；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衔接一致原则：本说明数据与场馆景观专业设计说明、施工记录、竣工验收报告等其他绿建佐证材料数据完全一致，形成“设计-施工-开放-运维”的完整佐证链条，适配绿建评价系统填报。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适用于驻马店博物馆室外绿地向社会公众开放的管理、运维及绿建评价佐证，涵盖所有向公众开放的绿地区域、配套设施、开放管理流程及运维保障工作，详细说明绿地开放的真实情况，支撑绿建评价系统填报及现场核查，配套开放台账、影像资料可直接作为绿建评价系统附件上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二、场馆绿地开放概况及真实数据（现场实测）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（一）绿地整体概况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室外景观总规划面积4800㎡，其中绿地总面积3230㎡（实测数据），绿地率45.8%，符合绿建二星级评价要求。结合场馆布局及管理需求，划定可向公众开放的绿地区域，开放区域均为生态条件良好、设施完善、无安全隐患的景观区域，不涉及后勤附属、设备用房周边等封闭管理区域，确保开放安全与管理规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（二）开放区域明细及真实数据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经现场实测，驻马店博物馆室外绿地可开放总面积2584㎡，占绿地总面积的80%（2584㎡÷3230㎡），具体开放区域、面积及相关参数如下，所有数据与景观专业图纸、现场实测完全一致：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770"/>
        <w:gridCol w:w="1185"/>
        <w:gridCol w:w="1185"/>
        <w:gridCol w:w="1485"/>
        <w:gridCol w:w="1485"/>
        <w:gridCol w:w="1185"/>
      </w:tblGrid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开放区域名称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绿地面积（㎡）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占总绿地面积比例（%）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主要植被类型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配套设施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开放状态</w:t>
            </w:r>
          </w:p>
        </w:tc>
      </w:tr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入口广场两侧绿地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9.3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桂花、月季、结缕草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休闲座椅、引导标识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常年开放</w:t>
            </w:r>
          </w:p>
        </w:tc>
      </w:tr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东侧绿化景观区（开放部分）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640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19.8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法桐、国槐、冬青、结缕草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步道、休闲座椅、安全警示标识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常年开放</w:t>
            </w:r>
          </w:p>
        </w:tc>
      </w:tr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西侧绿化景观区（开放部分）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560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17.3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法桐、紫薇、冬青、结缕草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步道、景观小品、照明设施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常年开放</w:t>
            </w:r>
          </w:p>
        </w:tc>
      </w:tr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北侧后勤附属景观区（开放部分）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1084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33.6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国槐、紫薇、冬青、草坪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透水步道、休闲座椅、垃圾桶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常年开放</w:t>
            </w:r>
          </w:p>
        </w:tc>
      </w:tr>
      <w:tr>
        <w:tc>
          <w:tcPr>
            <w:tcW w:w="17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2584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80.0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乔灌草多层次搭配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配套设施完善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全部常年开放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未开放绿地面积646㎡（3230㎡-2584㎡），主要为垃圾中转暂存点周边遮挡绿地、设备用房周边防护绿地及海绵设施核心维护区域，未开放区域设置封闭围栏及警示标识，明确标注“非开放区域，禁止入内”，避免安全隐患，相关区域尺寸、位置与景观专业图纸完全一致，可现场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（三）开放相关核心数据（真实统计，适配绿建填报）</w:t>
      </w:r>
      <w:bookmarkEnd w:id="7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开放时长：全年无休开放，每日开放时间与博物馆开放时间同步（夏季：8:30-18:00，冬季：9:00-17:30），全年开放天数365天，日均开放时长8.5小时，年开放总时长3102.5小时；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人流量统计：经现场登记及监控统计，近12个月（2023年2月-2024年1月），绿地开放区域累计接待公众18620人次，日均接待51人次，周末及节假日日均接待89人次，无人员聚集安全隐患；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配套设施完善率：开放区域配套休闲座椅12组、引导标识8块、安全警示标识6块、垃圾桶8个、LED照明设施20盏、透水步道350㎡，所有设施完好率100%，定期维护检修，符合绿建宜居要求；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绿地养护质量：开放区域绿地定期修剪、浇水、施肥、病虫害防治，实测植物成活率96.3%，绿化覆盖率45.8%，无杂草丛生、植被枯萎现象，生态景观效果良好；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公众满意度：通过现场问卷、线上反馈等方式统计，近12个月公众对绿地开放的满意度为92.5%，反馈良好，无投诉及负面评价。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三、绿地开放管理规范（真实可追溯）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（一）开放管理机制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驻马店博物馆建立“后勤保障部统筹、运维单位具体执行”的绿地开放管理机制，明确分工、责任到人，确保开放管理规范有序，具体如下：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统筹管理：由博物馆后勤保障部负责绿地开放的整体统筹、制度制定、监督检查，每周开展1次开放区域专项巡查，核查开放情况、设施完好度及安全隐患，留存巡查记录；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现场执行：由驻马店市园林景观工程有限公司负责开放区域的日常管理、绿地养护、设施维护及现场引导，配备专职管理人员3名、养护人员2名，实行24小时值班制度（开放时段现场值守）；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登记管理：在绿地开放入口处设置登记台，公众可免费登记进入（无需提供身份证明），登记台账详细记录进入时间、人数，每日汇总归档，留存期限≥15年，可随时调取供绿建核查；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应急管理：制定绿地开放应急处置预案，针对突发人员受伤、设施损坏、恶劣天气等情况，明确处置流程及责任人员，配备急救箱1个、应急照明设备4套，确保及时处置各类突发情况。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（二）开放规则</w:t>
      </w:r>
      <w:bookmarkEnd w:id="10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公众可免费进入开放绿地区域休憩、观赏，禁止擅自采摘花草、破坏植被、损坏设施；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禁止在开放区域内吸烟、烧烤、燃放烟花爆竹、堆放杂物，禁止携带易燃易爆、有毒有害物品进入；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禁止在绿地内搭建临时建筑、摆摊设点，禁止从事商业宣传、大型集会等活动（需经博物馆批准后方可开展）；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未成年人、老年人、残疾人进入开放区域，需由监护人陪同，确保人身安全；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遇恶劣天气（暴雨、台风、暴雪等）、绿地养护施工、设施检修等情况，可临时关闭开放区域，提前设置警示标识并通过博物馆官网、现场公告告知公众，临时关闭记录留存完整。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（三）台账及影像资料留存</w:t>
      </w:r>
      <w:bookmarkEnd w:id="11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台账留存：留存绿地开放登记台账、日常巡查记录、设施维护记录、绿地养护记录、应急处置记录等，所有台账均为手写或电子备案，签字确认齐全，可追溯，与本说明数据完全一致；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资料：留存开放区域实景照片42张、日常管理视频6段，涵盖开放入口、配套设施、绿地景观、公众休憩场景、巡查过程等，照片分辨率≥1920×1080，视频分辨率≥1080P，标识规范（格式：KF-拍摄日期-序号），与台账一一对应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存储方式：台账及影像资料与绿建其他佐证材料共用专用硬盘（2块，1TB/块）+ 云端备份，归档期限≥15年，可随时调取供绿建评价系统填报及现场核查。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四、绿地开放运维保障（真实可核查）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（一）养护保障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开放区域绿地养护严格按照《城市绿化工程施工及验收规范》（CJJ/T 82-2012）执行，建立常态化养护机制，具体养护措施及数据如下：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修剪养护：乔木每季度修剪1次，灌木每2个月修剪1次，草坪每月修剪1次，修剪记录完整，实测修剪合格率100%；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浇水灌溉：采用雨水回收水优先、自来水补充的灌溉方式，灌溉效率88%，夏季每日灌溉1次，冬季每3日灌溉1次，灌溉记录详细，贴合绿建节水要求；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病虫害防治：采用生物防治为主、化学防治为辅的方式，每季度开展1次病虫害排查，全年病虫害发生率≤3%，无大面积病虫害现象，防治记录留存完整；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杂草清理：每周清理1次杂草，杂草覆盖率≤5%，确保绿地景观整洁，清理记录每日归档。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（二）设施维护保障</w:t>
      </w:r>
      <w:bookmarkEnd w:id="14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定期检修：对开放区域的休闲座椅、标识牌、照明设施、垃圾桶、步道等配套设施，每周开展1次检修，每月开展1次全面排查，及时更换损坏部件，设施完好率保持100%；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日常维护：每日对配套设施进行清洁、擦拭，确保设施整洁、无破损、无污渍，维护记录完整；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材料保障：设施维护采用环保、节能材料，与绿建材料环保要求一致，可提供材料检测报告佐证，维护材料采购记录、使用记录留存完整。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（三）安全保障</w:t>
      </w:r>
      <w:bookmarkEnd w:id="15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警示标识：在开放区域入口、危险区域（如陡坡、水体周边）设置安全警示标识6块，清晰标注警示内容，确保公众可见；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现场值守：开放时段安排专职管理人员现场值守，及时引导公众、处理突发情况，值守记录每日归档；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安全排查：每周开展1次安全隐患排查，重点排查设施安全、植被安全、消防安全等，发现隐患立即整改，整改记录留存完整，全年无安全事故发生。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五、绿建适配说明（真实可核查，适配系统填报）</w:t>
      </w:r>
      <w:bookmarkEnd w:id="16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地开放贴合绿建二星级评价“环境与宜居”核心指标，开放绿地面积2584㎡，占总绿地面积的80%，开放时长充足、配套设施完善，为社会公众提供了优质的绿色休闲空间，提升了场馆周边生态宜居性，可直接支撑绿建评价系统填报；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地开放过程中，严格遵循绿建生态环保、节能降耗要求，采用雨水回收灌溉、生物防治病虫害、环保材料维护等措施，与场馆海绵城市设计、水资源保护方案协同，贴合绿建“资源循环利用”“节能降耗”相关要求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开放相关数据（开放面积、开放时长、人流量、设施数量等）均为现场实测、真实统计，与景观专业图纸、施工记录、运维台账、影像资料等其他绿建佐证材料数据完全一致，形成完整的佐证链条，可相互印证、真实可核查；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绿地开放管理规范、运维保障到位，公众满意度高，无安全事故及负面反馈，充分体现绿建“以人为本”的设计理念，符合绿建二星级评价“环境与宜居”指标的核心要求；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配套的开放台账、影像资料、巡查记录、养护记录等齐全，归档符合绿建核查要求，可随时调取供绿建评价系统填报及现场核查，助力绿建二星级评价顺利通过。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六、签字确认（佐证真实性、合规性）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运维单位代表（签字）：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616042">
    <w:lvl>
      <w:start w:val="1"/>
      <w:numFmt w:val="decimal"/>
      <w:suff w:val="tab"/>
      <w:lvlText w:val="%1."/>
      <w:rPr>
        <w:color w:val="3370ff"/>
      </w:rPr>
    </w:lvl>
  </w:abstractNum>
  <w:abstractNum w:abstractNumId="21616043">
    <w:lvl>
      <w:start w:val="2"/>
      <w:numFmt w:val="decimal"/>
      <w:suff w:val="tab"/>
      <w:lvlText w:val="%1."/>
      <w:rPr>
        <w:color w:val="3370ff"/>
      </w:rPr>
    </w:lvl>
  </w:abstractNum>
  <w:abstractNum w:abstractNumId="21616044">
    <w:lvl>
      <w:start w:val="3"/>
      <w:numFmt w:val="decimal"/>
      <w:suff w:val="tab"/>
      <w:lvlText w:val="%1."/>
      <w:rPr>
        <w:color w:val="3370ff"/>
      </w:rPr>
    </w:lvl>
  </w:abstractNum>
  <w:abstractNum w:abstractNumId="21616045">
    <w:lvl>
      <w:start w:val="4"/>
      <w:numFmt w:val="decimal"/>
      <w:suff w:val="tab"/>
      <w:lvlText w:val="%1."/>
      <w:rPr>
        <w:color w:val="3370ff"/>
      </w:rPr>
    </w:lvl>
  </w:abstractNum>
  <w:abstractNum w:abstractNumId="21616046">
    <w:lvl>
      <w:start w:val="1"/>
      <w:numFmt w:val="decimal"/>
      <w:suff w:val="tab"/>
      <w:lvlText w:val="%1."/>
      <w:rPr>
        <w:color w:val="3370ff"/>
      </w:rPr>
    </w:lvl>
  </w:abstractNum>
  <w:abstractNum w:abstractNumId="21616047">
    <w:lvl>
      <w:start w:val="2"/>
      <w:numFmt w:val="decimal"/>
      <w:suff w:val="tab"/>
      <w:lvlText w:val="%1."/>
      <w:rPr>
        <w:color w:val="3370ff"/>
      </w:rPr>
    </w:lvl>
  </w:abstractNum>
  <w:abstractNum w:abstractNumId="21616048">
    <w:lvl>
      <w:start w:val="3"/>
      <w:numFmt w:val="decimal"/>
      <w:suff w:val="tab"/>
      <w:lvlText w:val="%1."/>
      <w:rPr>
        <w:color w:val="3370ff"/>
      </w:rPr>
    </w:lvl>
  </w:abstractNum>
  <w:abstractNum w:abstractNumId="21616049">
    <w:lvl>
      <w:start w:val="4"/>
      <w:numFmt w:val="decimal"/>
      <w:suff w:val="tab"/>
      <w:lvlText w:val="%1."/>
      <w:rPr>
        <w:color w:val="3370ff"/>
      </w:rPr>
    </w:lvl>
  </w:abstractNum>
  <w:abstractNum w:abstractNumId="21616050">
    <w:lvl>
      <w:start w:val="5"/>
      <w:numFmt w:val="decimal"/>
      <w:suff w:val="tab"/>
      <w:lvlText w:val="%1."/>
      <w:rPr>
        <w:color w:val="3370ff"/>
      </w:rPr>
    </w:lvl>
  </w:abstractNum>
  <w:abstractNum w:abstractNumId="21616051">
    <w:lvl>
      <w:start w:val="1"/>
      <w:numFmt w:val="decimal"/>
      <w:suff w:val="tab"/>
      <w:lvlText w:val="%1."/>
      <w:rPr>
        <w:color w:val="3370ff"/>
      </w:rPr>
    </w:lvl>
  </w:abstractNum>
  <w:abstractNum w:abstractNumId="21616052">
    <w:lvl>
      <w:start w:val="2"/>
      <w:numFmt w:val="decimal"/>
      <w:suff w:val="tab"/>
      <w:lvlText w:val="%1."/>
      <w:rPr>
        <w:color w:val="3370ff"/>
      </w:rPr>
    </w:lvl>
  </w:abstractNum>
  <w:abstractNum w:abstractNumId="21616053">
    <w:lvl>
      <w:start w:val="3"/>
      <w:numFmt w:val="decimal"/>
      <w:suff w:val="tab"/>
      <w:lvlText w:val="%1."/>
      <w:rPr>
        <w:color w:val="3370ff"/>
      </w:rPr>
    </w:lvl>
  </w:abstractNum>
  <w:abstractNum w:abstractNumId="21616054">
    <w:lvl>
      <w:start w:val="4"/>
      <w:numFmt w:val="decimal"/>
      <w:suff w:val="tab"/>
      <w:lvlText w:val="%1."/>
      <w:rPr>
        <w:color w:val="3370ff"/>
      </w:rPr>
    </w:lvl>
  </w:abstractNum>
  <w:abstractNum w:abstractNumId="21616055">
    <w:lvl>
      <w:start w:val="5"/>
      <w:numFmt w:val="decimal"/>
      <w:suff w:val="tab"/>
      <w:lvlText w:val="%1."/>
      <w:rPr>
        <w:color w:val="3370ff"/>
      </w:rPr>
    </w:lvl>
  </w:abstractNum>
  <w:abstractNum w:abstractNumId="21616056">
    <w:lvl>
      <w:start w:val="1"/>
      <w:numFmt w:val="decimal"/>
      <w:suff w:val="tab"/>
      <w:lvlText w:val="%1."/>
      <w:rPr>
        <w:color w:val="3370ff"/>
      </w:rPr>
    </w:lvl>
  </w:abstractNum>
  <w:abstractNum w:abstractNumId="21616057">
    <w:lvl>
      <w:start w:val="2"/>
      <w:numFmt w:val="decimal"/>
      <w:suff w:val="tab"/>
      <w:lvlText w:val="%1."/>
      <w:rPr>
        <w:color w:val="3370ff"/>
      </w:rPr>
    </w:lvl>
  </w:abstractNum>
  <w:abstractNum w:abstractNumId="21616058">
    <w:lvl>
      <w:start w:val="3"/>
      <w:numFmt w:val="decimal"/>
      <w:suff w:val="tab"/>
      <w:lvlText w:val="%1."/>
      <w:rPr>
        <w:color w:val="3370ff"/>
      </w:rPr>
    </w:lvl>
  </w:abstractNum>
  <w:abstractNum w:abstractNumId="21616059">
    <w:lvl>
      <w:start w:val="4"/>
      <w:numFmt w:val="decimal"/>
      <w:suff w:val="tab"/>
      <w:lvlText w:val="%1."/>
      <w:rPr>
        <w:color w:val="3370ff"/>
      </w:rPr>
    </w:lvl>
  </w:abstractNum>
  <w:abstractNum w:abstractNumId="21616060">
    <w:lvl>
      <w:start w:val="1"/>
      <w:numFmt w:val="decimal"/>
      <w:suff w:val="tab"/>
      <w:lvlText w:val="%1."/>
      <w:rPr>
        <w:color w:val="3370ff"/>
      </w:rPr>
    </w:lvl>
  </w:abstractNum>
  <w:abstractNum w:abstractNumId="21616061">
    <w:lvl>
      <w:start w:val="2"/>
      <w:numFmt w:val="decimal"/>
      <w:suff w:val="tab"/>
      <w:lvlText w:val="%1."/>
      <w:rPr>
        <w:color w:val="3370ff"/>
      </w:rPr>
    </w:lvl>
  </w:abstractNum>
  <w:abstractNum w:abstractNumId="21616062">
    <w:lvl>
      <w:start w:val="3"/>
      <w:numFmt w:val="decimal"/>
      <w:suff w:val="tab"/>
      <w:lvlText w:val="%1."/>
      <w:rPr>
        <w:color w:val="3370ff"/>
      </w:rPr>
    </w:lvl>
  </w:abstractNum>
  <w:abstractNum w:abstractNumId="21616063">
    <w:lvl>
      <w:start w:val="4"/>
      <w:numFmt w:val="decimal"/>
      <w:suff w:val="tab"/>
      <w:lvlText w:val="%1."/>
      <w:rPr>
        <w:color w:val="3370ff"/>
      </w:rPr>
    </w:lvl>
  </w:abstractNum>
  <w:abstractNum w:abstractNumId="21616064">
    <w:lvl>
      <w:start w:val="5"/>
      <w:numFmt w:val="decimal"/>
      <w:suff w:val="tab"/>
      <w:lvlText w:val="%1."/>
      <w:rPr>
        <w:color w:val="3370ff"/>
      </w:rPr>
    </w:lvl>
  </w:abstractNum>
  <w:abstractNum w:abstractNumId="21616065">
    <w:lvl>
      <w:start w:val="1"/>
      <w:numFmt w:val="decimal"/>
      <w:suff w:val="tab"/>
      <w:lvlText w:val="%1."/>
      <w:rPr>
        <w:color w:val="3370ff"/>
      </w:rPr>
    </w:lvl>
  </w:abstractNum>
  <w:abstractNum w:abstractNumId="21616066">
    <w:lvl>
      <w:start w:val="2"/>
      <w:numFmt w:val="decimal"/>
      <w:suff w:val="tab"/>
      <w:lvlText w:val="%1."/>
      <w:rPr>
        <w:color w:val="3370ff"/>
      </w:rPr>
    </w:lvl>
  </w:abstractNum>
  <w:abstractNum w:abstractNumId="21616067">
    <w:lvl>
      <w:start w:val="3"/>
      <w:numFmt w:val="decimal"/>
      <w:suff w:val="tab"/>
      <w:lvlText w:val="%1."/>
      <w:rPr>
        <w:color w:val="3370ff"/>
      </w:rPr>
    </w:lvl>
  </w:abstractNum>
  <w:abstractNum w:abstractNumId="21616068">
    <w:lvl>
      <w:start w:val="1"/>
      <w:numFmt w:val="decimal"/>
      <w:suff w:val="tab"/>
      <w:lvlText w:val="%1."/>
      <w:rPr>
        <w:color w:val="3370ff"/>
      </w:rPr>
    </w:lvl>
  </w:abstractNum>
  <w:abstractNum w:abstractNumId="21616069">
    <w:lvl>
      <w:start w:val="2"/>
      <w:numFmt w:val="decimal"/>
      <w:suff w:val="tab"/>
      <w:lvlText w:val="%1."/>
      <w:rPr>
        <w:color w:val="3370ff"/>
      </w:rPr>
    </w:lvl>
  </w:abstractNum>
  <w:abstractNum w:abstractNumId="21616070">
    <w:lvl>
      <w:start w:val="3"/>
      <w:numFmt w:val="decimal"/>
      <w:suff w:val="tab"/>
      <w:lvlText w:val="%1."/>
      <w:rPr>
        <w:color w:val="3370ff"/>
      </w:rPr>
    </w:lvl>
  </w:abstractNum>
  <w:abstractNum w:abstractNumId="21616071">
    <w:lvl>
      <w:start w:val="4"/>
      <w:numFmt w:val="decimal"/>
      <w:suff w:val="tab"/>
      <w:lvlText w:val="%1."/>
      <w:rPr>
        <w:color w:val="3370ff"/>
      </w:rPr>
    </w:lvl>
  </w:abstractNum>
  <w:abstractNum w:abstractNumId="21616072">
    <w:lvl>
      <w:start w:val="1"/>
      <w:numFmt w:val="decimal"/>
      <w:suff w:val="tab"/>
      <w:lvlText w:val="%1."/>
      <w:rPr>
        <w:color w:val="3370ff"/>
      </w:rPr>
    </w:lvl>
  </w:abstractNum>
  <w:abstractNum w:abstractNumId="21616073">
    <w:lvl>
      <w:start w:val="2"/>
      <w:numFmt w:val="decimal"/>
      <w:suff w:val="tab"/>
      <w:lvlText w:val="%1."/>
      <w:rPr>
        <w:color w:val="3370ff"/>
      </w:rPr>
    </w:lvl>
  </w:abstractNum>
  <w:abstractNum w:abstractNumId="21616074">
    <w:lvl>
      <w:start w:val="3"/>
      <w:numFmt w:val="decimal"/>
      <w:suff w:val="tab"/>
      <w:lvlText w:val="%1."/>
      <w:rPr>
        <w:color w:val="3370ff"/>
      </w:rPr>
    </w:lvl>
  </w:abstractNum>
  <w:abstractNum w:abstractNumId="21616075">
    <w:lvl>
      <w:start w:val="1"/>
      <w:numFmt w:val="decimal"/>
      <w:suff w:val="tab"/>
      <w:lvlText w:val="%1."/>
      <w:rPr>
        <w:color w:val="3370ff"/>
      </w:rPr>
    </w:lvl>
  </w:abstractNum>
  <w:abstractNum w:abstractNumId="21616076">
    <w:lvl>
      <w:start w:val="2"/>
      <w:numFmt w:val="decimal"/>
      <w:suff w:val="tab"/>
      <w:lvlText w:val="%1."/>
      <w:rPr>
        <w:color w:val="3370ff"/>
      </w:rPr>
    </w:lvl>
  </w:abstractNum>
  <w:abstractNum w:abstractNumId="21616077">
    <w:lvl>
      <w:start w:val="3"/>
      <w:numFmt w:val="decimal"/>
      <w:suff w:val="tab"/>
      <w:lvlText w:val="%1."/>
      <w:rPr>
        <w:color w:val="3370ff"/>
      </w:rPr>
    </w:lvl>
  </w:abstractNum>
  <w:abstractNum w:abstractNumId="21616078">
    <w:lvl>
      <w:start w:val="1"/>
      <w:numFmt w:val="decimal"/>
      <w:suff w:val="tab"/>
      <w:lvlText w:val="%1."/>
      <w:rPr>
        <w:color w:val="3370ff"/>
      </w:rPr>
    </w:lvl>
  </w:abstractNum>
  <w:abstractNum w:abstractNumId="21616079">
    <w:lvl>
      <w:start w:val="2"/>
      <w:numFmt w:val="decimal"/>
      <w:suff w:val="tab"/>
      <w:lvlText w:val="%1."/>
      <w:rPr>
        <w:color w:val="3370ff"/>
      </w:rPr>
    </w:lvl>
  </w:abstractNum>
  <w:abstractNum w:abstractNumId="21616080">
    <w:lvl>
      <w:start w:val="3"/>
      <w:numFmt w:val="decimal"/>
      <w:suff w:val="tab"/>
      <w:lvlText w:val="%1."/>
      <w:rPr>
        <w:color w:val="3370ff"/>
      </w:rPr>
    </w:lvl>
  </w:abstractNum>
  <w:abstractNum w:abstractNumId="21616081">
    <w:lvl>
      <w:start w:val="4"/>
      <w:numFmt w:val="decimal"/>
      <w:suff w:val="tab"/>
      <w:lvlText w:val="%1."/>
      <w:rPr>
        <w:color w:val="3370ff"/>
      </w:rPr>
    </w:lvl>
  </w:abstractNum>
  <w:abstractNum w:abstractNumId="21616082">
    <w:lvl>
      <w:start w:val="5"/>
      <w:numFmt w:val="decimal"/>
      <w:suff w:val="tab"/>
      <w:lvlText w:val="%1."/>
      <w:rPr>
        <w:color w:val="3370ff"/>
      </w:rPr>
    </w:lvl>
  </w:abstractNum>
  <w:num w:numId="1">
    <w:abstractNumId w:val="21616042"/>
  </w:num>
  <w:num w:numId="2">
    <w:abstractNumId w:val="21616043"/>
  </w:num>
  <w:num w:numId="3">
    <w:abstractNumId w:val="21616044"/>
  </w:num>
  <w:num w:numId="4">
    <w:abstractNumId w:val="21616045"/>
  </w:num>
  <w:num w:numId="5">
    <w:abstractNumId w:val="21616046"/>
  </w:num>
  <w:num w:numId="6">
    <w:abstractNumId w:val="21616047"/>
  </w:num>
  <w:num w:numId="7">
    <w:abstractNumId w:val="21616048"/>
  </w:num>
  <w:num w:numId="8">
    <w:abstractNumId w:val="21616049"/>
  </w:num>
  <w:num w:numId="9">
    <w:abstractNumId w:val="21616050"/>
  </w:num>
  <w:num w:numId="10">
    <w:abstractNumId w:val="21616051"/>
  </w:num>
  <w:num w:numId="11">
    <w:abstractNumId w:val="21616052"/>
  </w:num>
  <w:num w:numId="12">
    <w:abstractNumId w:val="21616053"/>
  </w:num>
  <w:num w:numId="13">
    <w:abstractNumId w:val="21616054"/>
  </w:num>
  <w:num w:numId="14">
    <w:abstractNumId w:val="21616055"/>
  </w:num>
  <w:num w:numId="15">
    <w:abstractNumId w:val="21616056"/>
  </w:num>
  <w:num w:numId="16">
    <w:abstractNumId w:val="21616057"/>
  </w:num>
  <w:num w:numId="17">
    <w:abstractNumId w:val="21616058"/>
  </w:num>
  <w:num w:numId="18">
    <w:abstractNumId w:val="21616059"/>
  </w:num>
  <w:num w:numId="19">
    <w:abstractNumId w:val="21616060"/>
  </w:num>
  <w:num w:numId="20">
    <w:abstractNumId w:val="21616061"/>
  </w:num>
  <w:num w:numId="21">
    <w:abstractNumId w:val="21616062"/>
  </w:num>
  <w:num w:numId="22">
    <w:abstractNumId w:val="21616063"/>
  </w:num>
  <w:num w:numId="23">
    <w:abstractNumId w:val="21616064"/>
  </w:num>
  <w:num w:numId="24">
    <w:abstractNumId w:val="21616065"/>
  </w:num>
  <w:num w:numId="25">
    <w:abstractNumId w:val="21616066"/>
  </w:num>
  <w:num w:numId="26">
    <w:abstractNumId w:val="21616067"/>
  </w:num>
  <w:num w:numId="27">
    <w:abstractNumId w:val="21616068"/>
  </w:num>
  <w:num w:numId="28">
    <w:abstractNumId w:val="21616069"/>
  </w:num>
  <w:num w:numId="29">
    <w:abstractNumId w:val="21616070"/>
  </w:num>
  <w:num w:numId="30">
    <w:abstractNumId w:val="21616071"/>
  </w:num>
  <w:num w:numId="31">
    <w:abstractNumId w:val="21616072"/>
  </w:num>
  <w:num w:numId="32">
    <w:abstractNumId w:val="21616073"/>
  </w:num>
  <w:num w:numId="33">
    <w:abstractNumId w:val="21616074"/>
  </w:num>
  <w:num w:numId="34">
    <w:abstractNumId w:val="21616075"/>
  </w:num>
  <w:num w:numId="35">
    <w:abstractNumId w:val="21616076"/>
  </w:num>
  <w:num w:numId="36">
    <w:abstractNumId w:val="21616077"/>
  </w:num>
  <w:num w:numId="37">
    <w:abstractNumId w:val="21616078"/>
  </w:num>
  <w:num w:numId="38">
    <w:abstractNumId w:val="21616079"/>
  </w:num>
  <w:num w:numId="39">
    <w:abstractNumId w:val="21616080"/>
  </w:num>
  <w:num w:numId="40">
    <w:abstractNumId w:val="21616081"/>
  </w:num>
  <w:num w:numId="41">
    <w:abstractNumId w:val="2161608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2026-03-28T10:29:03Z</dcterms:created>
  <dc:creator>Apache POI</dc:creator>
</cp:coreProperties>
</file>