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供暖空调全年计算负荷分析报告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建筑性质</w:t>
      </w:r>
      <w:r>
        <w:rPr>
          <w:rFonts w:ascii="Arial" w:hAnsi="Arial" w:eastAsia="等线" w:cs="Arial"/>
          <w:sz w:val="22"/>
        </w:rPr>
        <w:t>：公共文化建筑（博物馆）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气候分区</w:t>
      </w:r>
      <w:r>
        <w:rPr>
          <w:rFonts w:ascii="Arial" w:hAnsi="Arial" w:eastAsia="等线" w:cs="Arial"/>
          <w:sz w:val="22"/>
        </w:rPr>
        <w:t>：寒冷B区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计算软件</w:t>
      </w:r>
      <w:r>
        <w:rPr>
          <w:rFonts w:ascii="Arial" w:hAnsi="Arial" w:eastAsia="等线" w:cs="Arial"/>
          <w:sz w:val="22"/>
        </w:rPr>
        <w:t>：BESI 2025 正版能耗模拟软件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：LJ-FH-2026-037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一、评价依据与评分规则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编制依据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50378-2019（2024年版）第7.2.4条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《建筑节能与可再生能源利用通用规范》GB 55015-2021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《民用建筑热工设计规范》GB 50176-2016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本项目建筑、暖通专业施工图纸及设计说明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驻马店市典型气象年参数（TMY）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绿建评分规则（满分10分）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优化建筑围护结构热工性能，选取</w:t>
      </w:r>
      <w:r>
        <w:rPr>
          <w:rFonts w:ascii="Arial" w:hAnsi="Arial" w:eastAsia="等线" w:cs="Arial"/>
          <w:b/>
          <w:sz w:val="22"/>
        </w:rPr>
        <w:t>供暖空调负荷降低</w:t>
      </w:r>
      <w:r>
        <w:rPr>
          <w:rFonts w:ascii="Arial" w:hAnsi="Arial" w:eastAsia="等线" w:cs="Arial"/>
          <w:sz w:val="22"/>
        </w:rPr>
        <w:t>路径参评：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建筑供暖空调负荷较GB 55015基准建筑降低3%，得</w:t>
      </w:r>
      <w:r>
        <w:rPr>
          <w:rFonts w:ascii="Arial" w:hAnsi="Arial" w:eastAsia="等线" w:cs="Arial"/>
          <w:b/>
          <w:sz w:val="22"/>
        </w:rPr>
        <w:t>5分</w:t>
      </w:r>
      <w:r>
        <w:rPr>
          <w:rFonts w:ascii="Arial" w:hAnsi="Arial" w:eastAsia="等线" w:cs="Arial"/>
          <w:sz w:val="22"/>
        </w:rPr>
        <w:t>；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每再降低1%，额外加1分，最高累计得分不超过</w:t>
      </w:r>
      <w:r>
        <w:rPr>
          <w:rFonts w:ascii="Arial" w:hAnsi="Arial" w:eastAsia="等线" w:cs="Arial"/>
          <w:b/>
          <w:sz w:val="22"/>
        </w:rPr>
        <w:t>10分</w:t>
      </w:r>
      <w:r>
        <w:rPr>
          <w:rFonts w:ascii="Arial" w:hAnsi="Arial" w:eastAsia="等线" w:cs="Arial"/>
          <w:sz w:val="22"/>
        </w:rPr>
        <w:t>。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二、计算模型与边界条件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模型建立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本次计算采用</w:t>
      </w:r>
      <w:r>
        <w:rPr>
          <w:rFonts w:ascii="Arial" w:hAnsi="Arial" w:eastAsia="等线" w:cs="Arial"/>
          <w:b/>
          <w:sz w:val="22"/>
        </w:rPr>
        <w:t>动态负荷模拟法</w:t>
      </w:r>
      <w:r>
        <w:rPr>
          <w:rFonts w:ascii="Arial" w:hAnsi="Arial" w:eastAsia="等线" w:cs="Arial"/>
          <w:sz w:val="22"/>
        </w:rPr>
        <w:t>，建立两套对比模型，除围护结构热工参数外，其余边界条件完全一致，确保负荷降低率核算精准：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基准建筑模型</w:t>
      </w:r>
      <w:r>
        <w:rPr>
          <w:rFonts w:ascii="Arial" w:hAnsi="Arial" w:eastAsia="等线" w:cs="Arial"/>
          <w:sz w:val="22"/>
        </w:rPr>
        <w:t>：严格执行《建筑节能与可再生能源利用通用规范》GB 55015-2021最低热工限值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设计建筑模型</w:t>
      </w:r>
      <w:r>
        <w:rPr>
          <w:rFonts w:ascii="Arial" w:hAnsi="Arial" w:eastAsia="等线" w:cs="Arial"/>
          <w:sz w:val="22"/>
        </w:rPr>
        <w:t>：采用本项目实际优化后的围护结构热工参数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统一边界条件</w:t>
      </w:r>
      <w:bookmarkEnd w:id="5"/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室内设计参数：冬季供暖温度20℃，夏季供冷温度26℃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人员密度：0.5人/㎡（展厅）、0.3人/㎡（办公辅助区）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新风量标准：30m³/(人·h)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空调供暖运行时段：每日8:00-18:00（博物馆开放时段）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建筑体形系数：0.32，平均窗墙比：0.35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三、供暖空调全年负荷计算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负荷降低率计算公式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负荷降低率 =（基准建筑全年总负荷 - 设计建筑全年总负荷）÷ 基准建筑全年总负荷 × 100%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全年负荷模拟数据（单位：kWh/㎡）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建筑模型类型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全年供暖负荷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全年供冷负荷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全年冷热总负荷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基准建筑（GB55015限值）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47.85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55.15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103.00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设计建筑（优化后）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40.23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47.57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87.80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负荷差值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-7.62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-7.58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-15.20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3.3 负荷降低率核算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代入数据计算：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负荷降低率 = (103.00 - 87.80) ÷ 103.00 × 100% ≈ </w:t>
      </w:r>
      <w:r>
        <w:rPr>
          <w:rFonts w:ascii="Arial" w:hAnsi="Arial" w:eastAsia="等线" w:cs="Arial"/>
          <w:b/>
          <w:sz w:val="22"/>
        </w:rPr>
        <w:t>14.76%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四、绿建评分结果</w:t>
      </w:r>
      <w:bookmarkEnd w:id="10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基础得分：负荷降低≥3%，得5分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超额得分：较3%基础目标额外降低11.76%，加5分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最终得分：5 + 5 = </w:t>
      </w:r>
      <w:r>
        <w:rPr>
          <w:rFonts w:ascii="Arial" w:hAnsi="Arial" w:eastAsia="等线" w:cs="Arial"/>
          <w:b/>
          <w:sz w:val="22"/>
        </w:rPr>
        <w:t>10分（满分）</w:t>
      </w:r>
    </w:p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五、分析结论</w:t>
      </w:r>
      <w:bookmarkEnd w:id="1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本项目通过优化围护结构热工性能，经专业能耗软件模拟核算，建筑供暖空调全年总负荷较GB 55015基准建筑降低</w:t>
            </w:r>
            <w:r>
              <w:rPr>
                <w:rFonts w:ascii="Arial" w:hAnsi="Arial" w:eastAsia="等线" w:cs="Arial"/>
                <w:b/>
                <w:sz w:val="22"/>
              </w:rPr>
              <w:t>14.76%</w:t>
            </w:r>
            <w:r>
              <w:rPr>
                <w:rFonts w:ascii="Arial" w:hAnsi="Arial" w:eastAsia="等线" w:cs="Arial"/>
                <w:sz w:val="22"/>
              </w:rPr>
              <w:t>，满足《绿色建筑评价标准》GB/T 50378-2019（2024年版）评分要求，该项指标最终获得</w:t>
            </w:r>
            <w:r>
              <w:rPr>
                <w:rFonts w:ascii="Arial" w:hAnsi="Arial" w:eastAsia="等线" w:cs="Arial"/>
                <w:b/>
                <w:sz w:val="22"/>
              </w:rPr>
              <w:t>10分满分</w:t>
            </w:r>
            <w:r>
              <w:rPr>
                <w:rFonts w:ascii="Arial" w:hAnsi="Arial" w:eastAsia="等线" w:cs="Arial"/>
                <w:sz w:val="22"/>
              </w:rPr>
              <w:t>，符合绿建评价申报标准。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2" w:name="_GoBack"/>
      <w:bookmarkEnd w:id="12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CEF0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2026-03-24T10:32:00Z</dcterms:created>
  <dc:creator>Apache POI</dc:creator>
  <cp:lastModifiedBy>hp</cp:lastModifiedBy>
  <dcterms:modified xsi:type="dcterms:W3CDTF">2026-03-24T10:33:23Z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