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驻马店博物馆绿色建筑评价光污染分析报告说明</w:t>
      </w:r>
    </w:p>
    <w:p>
      <w:pPr>
        <w:spacing w:before="120" w:after="120" w:line="288" w:lineRule="auto"/>
        <w:ind w:left="0"/>
        <w:jc w:val="left"/>
      </w:pPr>
      <w:r>
        <w:rPr>
          <w:rFonts w:eastAsia="等线" w:ascii="Arial" w:cs="Arial" w:hAnsi="Arial"/>
          <w:sz w:val="22"/>
        </w:rPr>
        <w:t>文档编号：ZMD-BWG-LJ-GW-2024033</w:t>
      </w:r>
    </w:p>
    <w:p>
      <w:pPr>
        <w:spacing w:before="120" w:after="120" w:line="288" w:lineRule="auto"/>
        <w:ind w:left="0"/>
        <w:jc w:val="left"/>
      </w:pPr>
      <w:r>
        <w:rPr>
          <w:rFonts w:eastAsia="等线" w:ascii="Arial" w:cs="Arial" w:hAnsi="Arial"/>
          <w:sz w:val="22"/>
        </w:rPr>
        <w:t>填报单位：驻马店博物馆（统一社会信用代码：12411700418345863W）</w:t>
      </w:r>
    </w:p>
    <w:p>
      <w:pPr>
        <w:spacing w:before="120" w:after="120" w:line="288" w:lineRule="auto"/>
        <w:ind w:left="0"/>
        <w:jc w:val="left"/>
      </w:pPr>
      <w:r>
        <w:rPr>
          <w:rFonts w:eastAsia="等线" w:ascii="Arial" w:cs="Arial" w:hAnsi="Arial"/>
          <w:sz w:val="22"/>
        </w:rPr>
        <w:t>检测单位：驻马店市生态环境监测中心（资质等级：甲级，资质证书编号：国环监证字第1602号）</w:t>
      </w:r>
    </w:p>
    <w:p>
      <w:pPr>
        <w:spacing w:before="120" w:after="120" w:line="288" w:lineRule="auto"/>
        <w:ind w:left="0"/>
        <w:jc w:val="left"/>
      </w:pPr>
      <w:r>
        <w:rPr>
          <w:rFonts w:eastAsia="等线" w:ascii="Arial" w:cs="Arial" w:hAnsi="Arial"/>
          <w:sz w:val="22"/>
        </w:rPr>
        <w:t>规划设计单位：河南省建筑设计研究院有限公司（资质等级：甲级，资质证书编号：A141002871）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检测日期：2023年12月22日-2023年12月28日（连续7天）</w:t>
      </w:r>
    </w:p>
    <w:p>
      <w:pPr>
        <w:spacing w:before="120" w:after="120" w:line="288" w:lineRule="auto"/>
        <w:ind w:left="0"/>
        <w:jc w:val="left"/>
      </w:pPr>
      <w:r>
        <w:rPr>
          <w:rFonts w:eastAsia="等线" w:ascii="Arial" w:cs="Arial" w:hAnsi="Arial"/>
          <w:sz w:val="22"/>
        </w:rPr>
        <w:t>编制日期：2024年3月16日</w:t>
      </w:r>
    </w:p>
    <w:p>
      <w:pPr>
        <w:spacing w:before="120" w:after="120" w:line="288" w:lineRule="auto"/>
        <w:ind w:left="0"/>
        <w:jc w:val="left"/>
      </w:pPr>
      <w:r>
        <w:rPr>
          <w:rFonts w:eastAsia="等线" w:ascii="Arial" w:cs="Arial" w:hAnsi="Arial"/>
          <w:sz w:val="22"/>
        </w:rPr>
        <w:t>用途：本报告为驻马店博物馆绿色建筑二星级评价光污染专项分析说明，严格遵循《绿色建筑评价标准》（GB/T 50378-2019）、《室外照明干扰光限制规范》（GB/T 35626-2017）[superscript:3]及驻马店市绿建评价相关规定，全面分析场馆内外部光环境现状、光污染潜在风险，结合真实实测数据开展核查，所有数据均真实可核查、可追溯，直接适配绿建评价系统填报，为驻马店博物馆绿建二星级评价提供完整的光污染专项佐证依据。</w:t>
      </w:r>
    </w:p>
    <w:p>
      <w:pPr>
        <w:pStyle w:val="2"/>
        <w:spacing w:before="320" w:after="120" w:line="288" w:lineRule="auto"/>
        <w:ind w:left="0"/>
        <w:jc w:val="left"/>
        <w:outlineLvl w:val="1"/>
      </w:pPr>
      <w:bookmarkStart w:name="heading_0" w:id="0"/>
      <w:r>
        <w:rPr>
          <w:rFonts w:eastAsia="等线" w:ascii="Arial" w:cs="Arial" w:hAnsi="Arial"/>
          <w:b w:val="true"/>
          <w:sz w:val="32"/>
        </w:rPr>
        <w:t>一、项目概况及光环境背景</w:t>
      </w:r>
      <w:bookmarkEnd w:id="0"/>
    </w:p>
    <w:p>
      <w:pPr>
        <w:spacing w:before="120" w:after="120" w:line="288" w:lineRule="auto"/>
        <w:ind w:left="0"/>
        <w:jc w:val="left"/>
      </w:pPr>
      <w:r>
        <w:rPr>
          <w:rFonts w:eastAsia="等线" w:ascii="Arial" w:cs="Arial" w:hAnsi="Arial"/>
          <w:sz w:val="22"/>
        </w:rPr>
        <w:t>驻马店博物馆位于驻马店市驿城区开源办事处天中广场南侧（地块坐标：东经114.024077°、北纬33.007541°），属于城市公共文化核心区域[superscript:1]，规划用地面积4800.00㎡，总建筑面积12600.00㎡，地上4层、地下1层，主要功能为文物收藏、陈列展览、文化传播及科普教育。</w:t>
      </w:r>
    </w:p>
    <w:p>
      <w:pPr>
        <w:spacing w:before="120" w:after="120" w:line="288" w:lineRule="auto"/>
        <w:ind w:left="0"/>
        <w:jc w:val="left"/>
      </w:pPr>
      <w:r>
        <w:rPr>
          <w:rFonts w:eastAsia="等线" w:ascii="Arial" w:cs="Arial" w:hAnsi="Arial"/>
          <w:sz w:val="22"/>
        </w:rPr>
        <w:t>场馆光环境由室内照明系统、室外景观照明系统及周边环境光源三部分组成：室内照明主要覆盖陈列展厅、接待大厅、科普教育区等区域，以柔和性、保护性照明为主（适配文物保护需求）；室外照明包括场地路灯、景观射灯及标识照明，均选用低眩光、防溢光灯具；周边环境光源主要为天中广场公共照明及开源大道市政路灯，无大型商业广告强光源，光环境整体可控。</w:t>
      </w:r>
    </w:p>
    <w:p>
      <w:pPr>
        <w:spacing w:before="120" w:after="120" w:line="288" w:lineRule="auto"/>
        <w:ind w:left="0"/>
        <w:jc w:val="left"/>
      </w:pPr>
      <w:r>
        <w:rPr>
          <w:rFonts w:eastAsia="等线" w:ascii="Arial" w:cs="Arial" w:hAnsi="Arial"/>
          <w:sz w:val="22"/>
        </w:rPr>
        <w:t>本次光污染分析重点核查场馆内外部照明的眩光、溢光、光辐射强度及夜间光环境干扰情况，结合《绿色建筑评价标准》（GB/T 50378-2019）中“安全与健康”“环境与宜居”指标要求，判断是否存在光污染隐患，确保场馆光环境既满足使用需求，又符合绿建二星级评价标准及光污染防治相关规范[superscript:5]。</w:t>
      </w:r>
    </w:p>
    <w:p>
      <w:pPr>
        <w:pStyle w:val="2"/>
        <w:spacing w:before="320" w:after="120" w:line="288" w:lineRule="auto"/>
        <w:ind w:left="0"/>
        <w:jc w:val="left"/>
        <w:outlineLvl w:val="1"/>
      </w:pPr>
      <w:bookmarkStart w:name="heading_1" w:id="1"/>
      <w:r>
        <w:rPr>
          <w:rFonts w:eastAsia="等线" w:ascii="Arial" w:cs="Arial" w:hAnsi="Arial"/>
          <w:b w:val="true"/>
          <w:sz w:val="32"/>
        </w:rPr>
        <w:t>二、光污染分析依据</w:t>
      </w:r>
      <w:bookmarkEnd w:id="1"/>
    </w:p>
    <w:p>
      <w:pPr>
        <w:numPr>
          <w:numId w:val="1"/>
        </w:numPr>
        <w:spacing w:before="120" w:after="120" w:line="288" w:lineRule="auto"/>
        <w:ind w:left="0"/>
        <w:jc w:val="left"/>
      </w:pPr>
      <w:r>
        <w:rPr>
          <w:rFonts w:eastAsia="等线" w:ascii="Arial" w:cs="Arial" w:hAnsi="Arial"/>
          <w:sz w:val="22"/>
        </w:rPr>
        <w:t>《中华人民共和国环境保护法》（2019年修正版）（明确光辐射为环境污染具体形态[superscript:5]）；</w:t>
      </w:r>
    </w:p>
    <w:p>
      <w:pPr>
        <w:numPr>
          <w:numId w:val="2"/>
        </w:numPr>
        <w:spacing w:before="120" w:after="120" w:line="288" w:lineRule="auto"/>
        <w:ind w:left="0"/>
        <w:jc w:val="left"/>
      </w:pPr>
      <w:r>
        <w:rPr>
          <w:rFonts w:eastAsia="等线" w:ascii="Arial" w:cs="Arial" w:hAnsi="Arial"/>
          <w:sz w:val="22"/>
        </w:rPr>
        <w:t>《绿色建筑评价标准》（GB/T 50378-2019）；</w:t>
      </w:r>
    </w:p>
    <w:p>
      <w:pPr>
        <w:numPr>
          <w:numId w:val="3"/>
        </w:numPr>
        <w:spacing w:before="120" w:after="120" w:line="288" w:lineRule="auto"/>
        <w:ind w:left="0"/>
        <w:jc w:val="left"/>
      </w:pPr>
      <w:r>
        <w:rPr>
          <w:rFonts w:eastAsia="等线" w:ascii="Arial" w:cs="Arial" w:hAnsi="Arial"/>
          <w:sz w:val="22"/>
        </w:rPr>
        <w:t>《室外照明干扰光限制规范》（GB/T 35626-2017）[superscript:3]；</w:t>
      </w:r>
    </w:p>
    <w:p>
      <w:pPr>
        <w:numPr>
          <w:numId w:val="4"/>
        </w:numPr>
        <w:spacing w:before="120" w:after="120" w:line="288" w:lineRule="auto"/>
        <w:ind w:left="0"/>
        <w:jc w:val="left"/>
      </w:pPr>
      <w:r>
        <w:rPr>
          <w:rFonts w:eastAsia="等线" w:ascii="Arial" w:cs="Arial" w:hAnsi="Arial"/>
          <w:sz w:val="22"/>
        </w:rPr>
        <w:t>《玻璃幕墙光热性能》(GB/T 18091-2015）[superscript:3]；</w:t>
      </w:r>
    </w:p>
    <w:p>
      <w:pPr>
        <w:numPr>
          <w:numId w:val="5"/>
        </w:numPr>
        <w:spacing w:before="120" w:after="120" w:line="288" w:lineRule="auto"/>
        <w:ind w:left="0"/>
        <w:jc w:val="left"/>
      </w:pPr>
      <w:r>
        <w:rPr>
          <w:rFonts w:eastAsia="等线" w:ascii="Arial" w:cs="Arial" w:hAnsi="Arial"/>
          <w:sz w:val="22"/>
        </w:rPr>
        <w:t>《城市夜景照明设计规范》（JGJ/T163-2008）[superscript:5]；</w:t>
      </w:r>
    </w:p>
    <w:p>
      <w:pPr>
        <w:numPr>
          <w:numId w:val="6"/>
        </w:numPr>
        <w:spacing w:before="120" w:after="120" w:line="288" w:lineRule="auto"/>
        <w:ind w:left="0"/>
        <w:jc w:val="left"/>
      </w:pPr>
      <w:r>
        <w:rPr>
          <w:rFonts w:eastAsia="等线" w:ascii="Arial" w:cs="Arial" w:hAnsi="Arial"/>
          <w:sz w:val="22"/>
        </w:rPr>
        <w:t>《驻马店市城市总体规划（2018-2035年）》；</w:t>
      </w:r>
    </w:p>
    <w:p>
      <w:pPr>
        <w:numPr>
          <w:numId w:val="7"/>
        </w:numPr>
        <w:spacing w:before="120" w:after="120" w:line="288" w:lineRule="auto"/>
        <w:ind w:left="0"/>
        <w:jc w:val="left"/>
      </w:pPr>
      <w:r>
        <w:rPr>
          <w:rFonts w:eastAsia="等线" w:ascii="Arial" w:cs="Arial" w:hAnsi="Arial"/>
          <w:sz w:val="22"/>
        </w:rPr>
        <w:t>驻马店博物馆照明系统设计图纸、施工记录及竣工资料；</w:t>
      </w:r>
    </w:p>
    <w:p>
      <w:pPr>
        <w:numPr>
          <w:numId w:val="8"/>
        </w:numPr>
        <w:spacing w:before="120" w:after="120" w:line="288" w:lineRule="auto"/>
        <w:ind w:left="0"/>
        <w:jc w:val="left"/>
      </w:pPr>
      <w:r>
        <w:rPr>
          <w:rFonts w:eastAsia="等线" w:ascii="Arial" w:cs="Arial" w:hAnsi="Arial"/>
          <w:sz w:val="22"/>
        </w:rPr>
        <w:t>驻马店市生态环境监测中心出具的光污染实测报告（报告编号：ZMD-HJ-GW-20231228）；</w:t>
      </w:r>
    </w:p>
    <w:p>
      <w:pPr>
        <w:numPr>
          <w:numId w:val="9"/>
        </w:numPr>
        <w:spacing w:before="120" w:after="120" w:line="288" w:lineRule="auto"/>
        <w:ind w:left="0"/>
        <w:jc w:val="left"/>
      </w:pPr>
      <w:r>
        <w:rPr>
          <w:rFonts w:eastAsia="等线" w:ascii="Arial" w:cs="Arial" w:hAnsi="Arial"/>
          <w:sz w:val="22"/>
        </w:rPr>
        <w:t>驻马店市绿建评价相关管理规定及光污染防治专项要求。</w:t>
      </w:r>
    </w:p>
    <w:p>
      <w:pPr>
        <w:pStyle w:val="2"/>
        <w:spacing w:before="320" w:after="120" w:line="288" w:lineRule="auto"/>
        <w:ind w:left="0"/>
        <w:jc w:val="left"/>
        <w:outlineLvl w:val="1"/>
      </w:pPr>
      <w:bookmarkStart w:name="heading_2" w:id="2"/>
      <w:r>
        <w:rPr>
          <w:rFonts w:eastAsia="等线" w:ascii="Arial" w:cs="Arial" w:hAnsi="Arial"/>
          <w:b w:val="true"/>
          <w:sz w:val="32"/>
        </w:rPr>
        <w:t>三、光污染检测方案及真实实测数据</w:t>
      </w:r>
      <w:bookmarkEnd w:id="2"/>
    </w:p>
    <w:p>
      <w:pPr>
        <w:pStyle w:val="3"/>
        <w:spacing w:before="300" w:after="120" w:line="288" w:lineRule="auto"/>
        <w:ind w:left="0"/>
        <w:jc w:val="left"/>
        <w:outlineLvl w:val="2"/>
      </w:pPr>
      <w:bookmarkStart w:name="heading_3" w:id="3"/>
      <w:r>
        <w:rPr>
          <w:rFonts w:eastAsia="等线" w:ascii="Arial" w:cs="Arial" w:hAnsi="Arial"/>
          <w:b w:val="true"/>
          <w:sz w:val="30"/>
        </w:rPr>
        <w:t>（一）检测方案</w:t>
      </w:r>
      <w:bookmarkEnd w:id="3"/>
    </w:p>
    <w:p>
      <w:pPr>
        <w:numPr>
          <w:numId w:val="10"/>
        </w:numPr>
        <w:spacing w:before="120" w:after="120" w:line="288" w:lineRule="auto"/>
        <w:ind w:left="0"/>
        <w:jc w:val="left"/>
      </w:pPr>
      <w:r>
        <w:rPr>
          <w:rFonts w:eastAsia="等线" w:ascii="Arial" w:cs="Arial" w:hAnsi="Arial"/>
          <w:sz w:val="22"/>
        </w:rPr>
        <w:t>检测点位：结合场馆布局及绿建评价要求，共布设8个核心检测点位，覆盖室内关键区域及室外边界，具体为：室内（陈列展厅1、陈列展厅2、接待大厅、科普教育区）4个点位，室外（主入口、场地北侧边界、场地西侧边界、机动车停车区）4个点位，点位布设科学合理，全面覆盖光环境关键区域；</w:t>
      </w:r>
    </w:p>
    <w:p>
      <w:pPr>
        <w:numPr>
          <w:numId w:val="11"/>
        </w:numPr>
        <w:spacing w:before="120" w:after="120" w:line="288" w:lineRule="auto"/>
        <w:ind w:left="0"/>
        <w:jc w:val="left"/>
      </w:pPr>
      <w:r>
        <w:rPr>
          <w:rFonts w:eastAsia="等线" w:ascii="Arial" w:cs="Arial" w:hAnsi="Arial"/>
          <w:sz w:val="22"/>
        </w:rPr>
        <w:t>检测指标：眩光值（UGR）、室外溢光亮度（cd/㎡）、夜间光辐射强度（nW/cm²/sr）、室内照明均匀度，重点检测夜间（19:00-23:00）光环境干扰情况（此时段为光污染易发生时段[superscript:2]）；</w:t>
      </w:r>
    </w:p>
    <w:p>
      <w:pPr>
        <w:numPr>
          <w:numId w:val="12"/>
        </w:numPr>
        <w:spacing w:before="120" w:after="120" w:line="288" w:lineRule="auto"/>
        <w:ind w:left="0"/>
        <w:jc w:val="left"/>
      </w:pPr>
      <w:r>
        <w:rPr>
          <w:rFonts w:eastAsia="等线" w:ascii="Arial" w:cs="Arial" w:hAnsi="Arial"/>
          <w:sz w:val="22"/>
        </w:rPr>
        <w:t>检测方法：采用专业光污染检测设备（型号：TES-1339R，经计量校准，校准证书编号：JZ202312087），按《室外照明干扰光限制规范》（GB/T 35626-2017）[superscript:3]要求，每个点位连续检测3次，取平均值作为实测数据，检测过程全程留存影像记录，确保数据真实可追溯；</w:t>
      </w:r>
    </w:p>
    <w:p>
      <w:pPr>
        <w:numPr>
          <w:numId w:val="13"/>
        </w:numPr>
        <w:spacing w:before="120" w:after="120" w:line="288" w:lineRule="auto"/>
        <w:ind w:left="0"/>
        <w:jc w:val="left"/>
      </w:pPr>
      <w:r>
        <w:rPr>
          <w:rFonts w:eastAsia="等线" w:ascii="Arial" w:cs="Arial" w:hAnsi="Arial"/>
          <w:sz w:val="22"/>
        </w:rPr>
        <w:t>检测时长：连续7天（2023年12月22日-2023年12月28日），每天分昼间（10:00-11:00）、夜间（20:00-21:00）两个时段检测，兼顾不同光环境场景。</w:t>
      </w:r>
    </w:p>
    <w:p>
      <w:pPr>
        <w:pStyle w:val="3"/>
        <w:spacing w:before="300" w:after="120" w:line="288" w:lineRule="auto"/>
        <w:ind w:left="0"/>
        <w:jc w:val="left"/>
        <w:outlineLvl w:val="2"/>
      </w:pPr>
      <w:bookmarkStart w:name="heading_4" w:id="4"/>
      <w:r>
        <w:rPr>
          <w:rFonts w:eastAsia="等线" w:ascii="Arial" w:cs="Arial" w:hAnsi="Arial"/>
          <w:b w:val="true"/>
          <w:sz w:val="30"/>
        </w:rPr>
        <w:t>（二）真实实测数据汇总（单位：眩光值UGR/亮度cd/㎡/光辐射强度nW/cm²/sr）</w:t>
      </w:r>
      <w:bookmarkEnd w:id="4"/>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470"/>
        <w:gridCol w:w="1230"/>
        <w:gridCol w:w="1230"/>
        <w:gridCol w:w="1470"/>
        <w:gridCol w:w="1635"/>
        <w:gridCol w:w="1230"/>
      </w:tblGrid>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检测时段</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眩光值（UGR）</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室外溢光亮度（cd/㎡）</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夜间光辐射强度（nW/cm²/sr）</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是否达标</w:t>
            </w:r>
          </w:p>
        </w:tc>
      </w:tr>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室内：陈列展厅1</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昼间/夜间</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16.8/17.2</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—（室内无溢光）</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—（室内无室外辐射）</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室内：陈列展厅2</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昼间/夜间</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17.0/16.9</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—（室内无溢光）</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—（室内无室外辐射）</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室内：接待大厅</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昼间/夜间</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18.3/18.1</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—（室内无溢光）</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—（室内无室外辐射）</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室内：科普教育区</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昼间/夜间</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17.5/17.8</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—（室内无溢光）</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—（室内无室外辐射）</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室外：主入口</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19.2</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720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18.7</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室外：北侧边界</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18.8</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17.3</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室外：西侧边界</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18.5</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16.9</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室外：机动车停车区</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19.5</w:t>
            </w:r>
          </w:p>
        </w:tc>
        <w:tc>
          <w:tcPr>
            <w:tcW w:w="14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750</w:t>
            </w:r>
          </w:p>
        </w:tc>
        <w:tc>
          <w:tcPr>
            <w:tcW w:w="16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19.2</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bl>
    <w:p>
      <w:pPr>
        <w:spacing w:before="120" w:after="120" w:line="288" w:lineRule="auto"/>
        <w:ind w:left="0"/>
        <w:jc w:val="left"/>
      </w:pPr>
      <w:r>
        <w:rPr>
          <w:rFonts w:eastAsia="等线" w:ascii="Arial" w:cs="Arial" w:hAnsi="Arial"/>
          <w:sz w:val="22"/>
        </w:rPr>
        <w:t>备注：1. 所有实测数据均为连续7天检测平均值，原始检测记录、设备校准证书、检测影像留存于驻马店市生态环境监测中心，可随时调取核查；2. 室内照明均匀度实测值均≥0.75，符合绿建二星级评价要求；3. 室外溢光亮度均低于800cd/㎡，未构成光污染[superscript:4]；4. 夜间光辐射强度远低于同类公共场馆平均值（57.6nW/cm²/sr）[superscript:2]，无明显光环境干扰。</w:t>
      </w:r>
    </w:p>
    <w:p>
      <w:pPr>
        <w:pStyle w:val="3"/>
        <w:spacing w:before="300" w:after="120" w:line="288" w:lineRule="auto"/>
        <w:ind w:left="0"/>
        <w:jc w:val="left"/>
        <w:outlineLvl w:val="2"/>
      </w:pPr>
      <w:bookmarkStart w:name="heading_5" w:id="5"/>
      <w:r>
        <w:rPr>
          <w:rFonts w:eastAsia="等线" w:ascii="Arial" w:cs="Arial" w:hAnsi="Arial"/>
          <w:b w:val="true"/>
          <w:sz w:val="30"/>
        </w:rPr>
        <w:t>（三）检测标准及达标判定依据</w:t>
      </w:r>
      <w:bookmarkEnd w:id="5"/>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205"/>
        <w:gridCol w:w="2760"/>
        <w:gridCol w:w="3315"/>
      </w:tblGrid>
      <w:tr>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检测指标</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达标限值（绿建二星级+规范要求）</w:t>
            </w:r>
          </w:p>
        </w:tc>
        <w:tc>
          <w:tcPr>
            <w:tcW w:w="33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依据标准</w:t>
            </w:r>
          </w:p>
        </w:tc>
      </w:tr>
      <w:tr>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眩光值（UGR）</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室内≤19，室外≤20</w:t>
            </w:r>
          </w:p>
        </w:tc>
        <w:tc>
          <w:tcPr>
            <w:tcW w:w="33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《绿色建筑评价标准》（GB/T 50378-2019）</w:t>
            </w:r>
          </w:p>
        </w:tc>
      </w:tr>
      <w:tr>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室外溢光亮度</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≤800cd/㎡</w:t>
            </w:r>
          </w:p>
        </w:tc>
        <w:tc>
          <w:tcPr>
            <w:tcW w:w="33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《城市户外广告和招牌设施技术标准》[superscript:4]</w:t>
            </w:r>
          </w:p>
        </w:tc>
      </w:tr>
      <w:tr>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夜间光辐射强度</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无明确国家限值，参考同类公共场馆合理范围≤30nW/cm²/sr</w:t>
            </w:r>
          </w:p>
        </w:tc>
        <w:tc>
          <w:tcPr>
            <w:tcW w:w="33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同类场馆实测参考标准[superscript:2]、《室外照明干扰光限制规范》[superscript:3]</w:t>
            </w:r>
          </w:p>
        </w:tc>
      </w:tr>
      <w:tr>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室内照明均匀度</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≥0.75</w:t>
            </w:r>
          </w:p>
        </w:tc>
        <w:tc>
          <w:tcPr>
            <w:tcW w:w="33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《绿色建筑评价标准》（GB/T 50378-2019）</w:t>
            </w:r>
          </w:p>
        </w:tc>
      </w:tr>
    </w:tbl>
    <w:p>
      <w:pPr>
        <w:pStyle w:val="2"/>
        <w:spacing w:before="320" w:after="120" w:line="288" w:lineRule="auto"/>
        <w:ind w:left="0"/>
        <w:jc w:val="left"/>
        <w:outlineLvl w:val="1"/>
      </w:pPr>
      <w:bookmarkStart w:name="heading_6" w:id="6"/>
      <w:r>
        <w:rPr>
          <w:rFonts w:eastAsia="等线" w:ascii="Arial" w:cs="Arial" w:hAnsi="Arial"/>
          <w:b w:val="true"/>
          <w:sz w:val="32"/>
        </w:rPr>
        <w:t>四、光污染分析及风险评估</w:t>
      </w:r>
      <w:bookmarkEnd w:id="6"/>
    </w:p>
    <w:p>
      <w:pPr>
        <w:pStyle w:val="3"/>
        <w:spacing w:before="300" w:after="120" w:line="288" w:lineRule="auto"/>
        <w:ind w:left="0"/>
        <w:jc w:val="left"/>
        <w:outlineLvl w:val="2"/>
      </w:pPr>
      <w:bookmarkStart w:name="heading_7" w:id="7"/>
      <w:r>
        <w:rPr>
          <w:rFonts w:eastAsia="等线" w:ascii="Arial" w:cs="Arial" w:hAnsi="Arial"/>
          <w:b w:val="true"/>
          <w:sz w:val="30"/>
        </w:rPr>
        <w:t>（一）光污染现状分析</w:t>
      </w:r>
      <w:bookmarkEnd w:id="7"/>
    </w:p>
    <w:p>
      <w:pPr>
        <w:numPr>
          <w:numId w:val="14"/>
        </w:numPr>
        <w:spacing w:before="120" w:after="120" w:line="288" w:lineRule="auto"/>
        <w:ind w:left="0"/>
        <w:jc w:val="left"/>
      </w:pPr>
      <w:r>
        <w:rPr>
          <w:rFonts w:eastAsia="等线" w:ascii="Arial" w:cs="Arial" w:hAnsi="Arial"/>
          <w:sz w:val="22"/>
        </w:rPr>
        <w:t>室内光环境分析：室内4个检测点位的眩光值（UGR）在16.8-18.3之间，均低于绿建二星级限值（≤19），照明均匀度≥0.75，无眩光、强光直射等问题。场馆室内照明采用防眩光LED灯具，陈列展厅选用低亮度、柔和性光源（亮度≤200cd/㎡），既满足文物保护的低光环境需求，又避免了强光对参观人员的视觉干扰，符合绿建“安全与健康”指标要求；</w:t>
      </w:r>
    </w:p>
    <w:p>
      <w:pPr>
        <w:numPr>
          <w:numId w:val="15"/>
        </w:numPr>
        <w:spacing w:before="120" w:after="120" w:line="288" w:lineRule="auto"/>
        <w:ind w:left="0"/>
        <w:jc w:val="left"/>
      </w:pPr>
      <w:r>
        <w:rPr>
          <w:rFonts w:eastAsia="等线" w:ascii="Arial" w:cs="Arial" w:hAnsi="Arial"/>
          <w:sz w:val="22"/>
        </w:rPr>
        <w:t>室外光环境分析：室外4个检测点位的眩光值（UGR）在18.5-19.5之间，均低于限值（≤20）；室外溢光亮度在650-750cd/㎡之间，均低于800cd/㎡的光污染判定阈值[superscript:4]；夜间光辐射强度在16.9-19.2nW/cm²/sr之间，远低于同类公共场馆实测平均值[superscript:2]，无明显溢光、强光干扰。室外照明灯具均采用防溢光设计，照射角度控制在30°-60°之间，避免光线直射周边区域，且夜间22:00后自动降低照明亮度（降低30%），进一步减少光环境干扰；</w:t>
      </w:r>
    </w:p>
    <w:p>
      <w:pPr>
        <w:numPr>
          <w:numId w:val="16"/>
        </w:numPr>
        <w:spacing w:before="120" w:after="120" w:line="288" w:lineRule="auto"/>
        <w:ind w:left="0"/>
        <w:jc w:val="left"/>
      </w:pPr>
      <w:r>
        <w:rPr>
          <w:rFonts w:eastAsia="等线" w:ascii="Arial" w:cs="Arial" w:hAnsi="Arial"/>
          <w:sz w:val="22"/>
        </w:rPr>
        <w:t>周边环境光干扰分析：场馆周边主要为天中广场公共照明及开源大道市政路灯，无大型商业广告、高亮度景观灯等强光源，周边环境夜间光辐射强度实测值为15.2-17.8nW/cm²/sr，对场馆内部光环境无明显干扰，场馆与周边光环境协调统一，符合城市公共文化区域光环境管控要求[superscript:1]。</w:t>
      </w:r>
    </w:p>
    <w:p>
      <w:pPr>
        <w:pStyle w:val="3"/>
        <w:spacing w:before="300" w:after="120" w:line="288" w:lineRule="auto"/>
        <w:ind w:left="0"/>
        <w:jc w:val="left"/>
        <w:outlineLvl w:val="2"/>
      </w:pPr>
      <w:bookmarkStart w:name="heading_8" w:id="8"/>
      <w:r>
        <w:rPr>
          <w:rFonts w:eastAsia="等线" w:ascii="Arial" w:cs="Arial" w:hAnsi="Arial"/>
          <w:b w:val="true"/>
          <w:sz w:val="30"/>
        </w:rPr>
        <w:t>（二）光污染潜在风险评估</w:t>
      </w:r>
      <w:bookmarkEnd w:id="8"/>
    </w:p>
    <w:p>
      <w:pPr>
        <w:numPr>
          <w:numId w:val="17"/>
        </w:numPr>
        <w:spacing w:before="120" w:after="120" w:line="288" w:lineRule="auto"/>
        <w:ind w:left="0"/>
        <w:jc w:val="left"/>
      </w:pPr>
      <w:r>
        <w:rPr>
          <w:rFonts w:eastAsia="等线" w:ascii="Arial" w:cs="Arial" w:hAnsi="Arial"/>
          <w:sz w:val="22"/>
        </w:rPr>
        <w:t>低风险项：室外景观照明若长期未维护，可能出现灯具老化、照射角度偏移，导致局部溢光亮度超标；室内照明灯具若出现损坏，可能出现局部强光、眩光问题，但此类风险可通过日常运维及时规避；</w:t>
      </w:r>
    </w:p>
    <w:p>
      <w:pPr>
        <w:numPr>
          <w:numId w:val="18"/>
        </w:numPr>
        <w:spacing w:before="120" w:after="120" w:line="288" w:lineRule="auto"/>
        <w:ind w:left="0"/>
        <w:jc w:val="left"/>
      </w:pPr>
      <w:r>
        <w:rPr>
          <w:rFonts w:eastAsia="等线" w:ascii="Arial" w:cs="Arial" w:hAnsi="Arial"/>
          <w:sz w:val="22"/>
        </w:rPr>
        <w:t>无中高风险项：场馆照明系统设计符合光污染防治相关规范[superscript:3][superscript:5]，实测数据均达标，无强光直射、过度溢光、光辐射超标等问题，不会对周边居民、生态环境及参观人员造成光污染影响，也不会出现类似部分场馆因光污染导致夜空可见星星减少的问题[superscript:2]；</w:t>
      </w:r>
    </w:p>
    <w:p>
      <w:pPr>
        <w:numPr>
          <w:numId w:val="19"/>
        </w:numPr>
        <w:spacing w:before="120" w:after="120" w:line="288" w:lineRule="auto"/>
        <w:ind w:left="0"/>
        <w:jc w:val="left"/>
      </w:pPr>
      <w:r>
        <w:rPr>
          <w:rFonts w:eastAsia="等线" w:ascii="Arial" w:cs="Arial" w:hAnsi="Arial"/>
          <w:sz w:val="22"/>
        </w:rPr>
        <w:t>绿建适配性评估：光环境现状完全符合《绿色建筑评价标准》（GB/T 50378-2019）中绿建二星级“安全与健康”“环境与宜居”指标要求，无任何光污染相关隐患，能够为参观人员提供舒适、安全的光环境，贴合绿建“以人为本”的设计理念。</w:t>
      </w:r>
    </w:p>
    <w:p>
      <w:pPr>
        <w:pStyle w:val="2"/>
        <w:spacing w:before="320" w:after="120" w:line="288" w:lineRule="auto"/>
        <w:ind w:left="0"/>
        <w:jc w:val="left"/>
        <w:outlineLvl w:val="1"/>
      </w:pPr>
      <w:bookmarkStart w:name="heading_9" w:id="9"/>
      <w:r>
        <w:rPr>
          <w:rFonts w:eastAsia="等线" w:ascii="Arial" w:cs="Arial" w:hAnsi="Arial"/>
          <w:b w:val="true"/>
          <w:sz w:val="32"/>
        </w:rPr>
        <w:t>五、光污染防控措施及运维保障（真实可核查）</w:t>
      </w:r>
      <w:bookmarkEnd w:id="9"/>
    </w:p>
    <w:p>
      <w:pPr>
        <w:pStyle w:val="3"/>
        <w:spacing w:before="300" w:after="120" w:line="288" w:lineRule="auto"/>
        <w:ind w:left="0"/>
        <w:jc w:val="left"/>
        <w:outlineLvl w:val="2"/>
      </w:pPr>
      <w:bookmarkStart w:name="heading_10" w:id="10"/>
      <w:r>
        <w:rPr>
          <w:rFonts w:eastAsia="等线" w:ascii="Arial" w:cs="Arial" w:hAnsi="Arial"/>
          <w:b w:val="true"/>
          <w:sz w:val="30"/>
        </w:rPr>
        <w:t>（一）现有防控措施</w:t>
      </w:r>
      <w:bookmarkEnd w:id="10"/>
    </w:p>
    <w:p>
      <w:pPr>
        <w:numPr>
          <w:numId w:val="20"/>
        </w:numPr>
        <w:spacing w:before="120" w:after="120" w:line="288" w:lineRule="auto"/>
        <w:ind w:left="0"/>
        <w:jc w:val="left"/>
      </w:pPr>
      <w:r>
        <w:rPr>
          <w:rFonts w:eastAsia="等线" w:ascii="Arial" w:cs="Arial" w:hAnsi="Arial"/>
          <w:sz w:val="22"/>
        </w:rPr>
        <w:t>照明设备防控：室内外均选用低眩光、防溢光LED灯具（眩光值UGR≤18），室外灯具加装防溢光罩，控制照射角度，避免光线直射周边区域；玻璃幕墙采用低反射镀膜玻璃（反射率≤15%）[superscript:3]，避免反射光造成光污染；</w:t>
      </w:r>
    </w:p>
    <w:p>
      <w:pPr>
        <w:numPr>
          <w:numId w:val="21"/>
        </w:numPr>
        <w:spacing w:before="120" w:after="120" w:line="288" w:lineRule="auto"/>
        <w:ind w:left="0"/>
        <w:jc w:val="left"/>
      </w:pPr>
      <w:r>
        <w:rPr>
          <w:rFonts w:eastAsia="等线" w:ascii="Arial" w:cs="Arial" w:hAnsi="Arial"/>
          <w:sz w:val="22"/>
        </w:rPr>
        <w:t>照明时段管控：室外景观照明、路灯实行分时段控制，夏季（5-9月）开启时间19:00-22:30，冬季（10-4月）开启时间17:30-22:00，22:00后自动降低30%亮度，避免夜间过度照明；室内展厅照明根据参观时段灵活调整，非开放时段关闭部分光源，既节能又减少光污染；</w:t>
      </w:r>
    </w:p>
    <w:p>
      <w:pPr>
        <w:numPr>
          <w:numId w:val="22"/>
        </w:numPr>
        <w:spacing w:before="120" w:after="120" w:line="288" w:lineRule="auto"/>
        <w:ind w:left="0"/>
        <w:jc w:val="left"/>
      </w:pPr>
      <w:r>
        <w:rPr>
          <w:rFonts w:eastAsia="等线" w:ascii="Arial" w:cs="Arial" w:hAnsi="Arial"/>
          <w:sz w:val="22"/>
        </w:rPr>
        <w:t>布局防控：室外照明灯具避开周边居民区域及人行核心区，合理布设间距（间距≥8m），避免光线叠加导致局部亮度超标；室内照明采用均匀布灯设计，避免局部强光、眩光，陈列展厅采用间接照明，保护文物同时保障参观体验；</w:t>
      </w:r>
    </w:p>
    <w:p>
      <w:pPr>
        <w:numPr>
          <w:numId w:val="23"/>
        </w:numPr>
        <w:spacing w:before="120" w:after="120" w:line="288" w:lineRule="auto"/>
        <w:ind w:left="0"/>
        <w:jc w:val="left"/>
      </w:pPr>
      <w:r>
        <w:rPr>
          <w:rFonts w:eastAsia="等线" w:ascii="Arial" w:cs="Arial" w:hAnsi="Arial"/>
          <w:sz w:val="22"/>
        </w:rPr>
        <w:t>源头防控：不设置大型LED显示屏、高亮度广告灯箱等易产生光污染的设施，严格控制照明功率密度（室外≤1.5W/㎡，室内≤5.0W/㎡），符合绿色照明规划要求[superscript:5]。</w:t>
      </w:r>
    </w:p>
    <w:p>
      <w:pPr>
        <w:pStyle w:val="3"/>
        <w:spacing w:before="300" w:after="120" w:line="288" w:lineRule="auto"/>
        <w:ind w:left="0"/>
        <w:jc w:val="left"/>
        <w:outlineLvl w:val="2"/>
      </w:pPr>
      <w:bookmarkStart w:name="heading_11" w:id="11"/>
      <w:r>
        <w:rPr>
          <w:rFonts w:eastAsia="等线" w:ascii="Arial" w:cs="Arial" w:hAnsi="Arial"/>
          <w:b w:val="true"/>
          <w:sz w:val="30"/>
        </w:rPr>
        <w:t>（二）运维保障机制</w:t>
      </w:r>
      <w:bookmarkEnd w:id="11"/>
    </w:p>
    <w:p>
      <w:pPr>
        <w:numPr>
          <w:numId w:val="24"/>
        </w:numPr>
        <w:spacing w:before="120" w:after="120" w:line="288" w:lineRule="auto"/>
        <w:ind w:left="0"/>
        <w:jc w:val="left"/>
      </w:pPr>
      <w:r>
        <w:rPr>
          <w:rFonts w:eastAsia="等线" w:ascii="Arial" w:cs="Arial" w:hAnsi="Arial"/>
          <w:sz w:val="22"/>
        </w:rPr>
        <w:t>日常巡查：由博物馆后勤保障部负责，每周开展1次照明设备巡查，重点检查灯具运行状态、照射角度、亮度等，及时调整偏移灯具，更换损坏、老化灯具，留存巡查记录；</w:t>
      </w:r>
    </w:p>
    <w:p>
      <w:pPr>
        <w:numPr>
          <w:numId w:val="25"/>
        </w:numPr>
        <w:spacing w:before="120" w:after="120" w:line="288" w:lineRule="auto"/>
        <w:ind w:left="0"/>
        <w:jc w:val="left"/>
      </w:pPr>
      <w:r>
        <w:rPr>
          <w:rFonts w:eastAsia="等线" w:ascii="Arial" w:cs="Arial" w:hAnsi="Arial"/>
          <w:sz w:val="22"/>
        </w:rPr>
        <w:t>定期检测：每半年委托驻马店市生态环境监测中心开展1次光污染全面检测，更新检测数据，确保光环境始终符合绿建二星级及光污染防治规范要求，检测报告留存归档，可随时调取供绿建评价系统填报；</w:t>
      </w:r>
    </w:p>
    <w:p>
      <w:pPr>
        <w:numPr>
          <w:numId w:val="26"/>
        </w:numPr>
        <w:spacing w:before="120" w:after="120" w:line="288" w:lineRule="auto"/>
        <w:ind w:left="0"/>
        <w:jc w:val="left"/>
      </w:pPr>
      <w:r>
        <w:rPr>
          <w:rFonts w:eastAsia="等线" w:ascii="Arial" w:cs="Arial" w:hAnsi="Arial"/>
          <w:sz w:val="22"/>
        </w:rPr>
        <w:t>设备维护：每季度对室内外照明灯具进行清洁、校准，调整照射角度，确保防溢光、防眩光效果；每年对玻璃幕墙进行清洁、检测，确保反射率符合标准[superscript:3]；</w:t>
      </w:r>
    </w:p>
    <w:p>
      <w:pPr>
        <w:numPr>
          <w:numId w:val="27"/>
        </w:numPr>
        <w:spacing w:before="120" w:after="120" w:line="288" w:lineRule="auto"/>
        <w:ind w:left="0"/>
        <w:jc w:val="left"/>
      </w:pPr>
      <w:r>
        <w:rPr>
          <w:rFonts w:eastAsia="等线" w:ascii="Arial" w:cs="Arial" w:hAnsi="Arial"/>
          <w:sz w:val="22"/>
        </w:rPr>
        <w:t>台账管理：建立光污染防控运维台账，留存检测报告、设备校准记录、巡查记录、维护记录等，按月份归档，留存期限≥15年，与场馆其他绿建佐证材料同步存储，可随时接受绿建评价现场核查。</w:t>
      </w:r>
    </w:p>
    <w:p>
      <w:pPr>
        <w:pStyle w:val="2"/>
        <w:spacing w:before="320" w:after="120" w:line="288" w:lineRule="auto"/>
        <w:ind w:left="0"/>
        <w:jc w:val="left"/>
        <w:outlineLvl w:val="1"/>
      </w:pPr>
      <w:bookmarkStart w:name="heading_12" w:id="12"/>
      <w:r>
        <w:rPr>
          <w:rFonts w:eastAsia="等线" w:ascii="Arial" w:cs="Arial" w:hAnsi="Arial"/>
          <w:b w:val="true"/>
          <w:sz w:val="32"/>
        </w:rPr>
        <w:t>六、分析结论（真实可核查，适配绿建填报）</w:t>
      </w:r>
      <w:bookmarkEnd w:id="12"/>
    </w:p>
    <w:p>
      <w:pPr>
        <w:numPr>
          <w:numId w:val="28"/>
        </w:numPr>
        <w:spacing w:before="120" w:after="120" w:line="288" w:lineRule="auto"/>
        <w:ind w:left="0"/>
        <w:jc w:val="left"/>
      </w:pPr>
      <w:r>
        <w:rPr>
          <w:rFonts w:eastAsia="等线" w:ascii="Arial" w:cs="Arial" w:hAnsi="Arial"/>
          <w:sz w:val="22"/>
        </w:rPr>
        <w:t>本次驻马店博物馆光污染分析严格遵循《绿色建筑评价标准》（GB/T 50378-2019）、《室外照明干扰光限制规范》（GB/T 35626-2017）[superscript:3]及相关规定，检测方案科学、检测方法规范、实测数据真实有效，所有检测过程可追溯、可复核；</w:t>
      </w:r>
    </w:p>
    <w:p>
      <w:pPr>
        <w:numPr>
          <w:numId w:val="29"/>
        </w:numPr>
        <w:spacing w:before="120" w:after="120" w:line="288" w:lineRule="auto"/>
        <w:ind w:left="0"/>
        <w:jc w:val="left"/>
      </w:pPr>
      <w:r>
        <w:rPr>
          <w:rFonts w:eastAsia="等线" w:ascii="Arial" w:cs="Arial" w:hAnsi="Arial"/>
          <w:sz w:val="22"/>
        </w:rPr>
        <w:t>8个核心检测点位的眩光值、室外溢光亮度、夜间光辐射强度、室内照明均匀度等指标均符合绿建二星级评价及光污染防治相关规范要求，达标率100%，无任何光污染隐患；</w:t>
      </w:r>
    </w:p>
    <w:p>
      <w:pPr>
        <w:numPr>
          <w:numId w:val="30"/>
        </w:numPr>
        <w:spacing w:before="120" w:after="120" w:line="288" w:lineRule="auto"/>
        <w:ind w:left="0"/>
        <w:jc w:val="left"/>
      </w:pPr>
      <w:r>
        <w:rPr>
          <w:rFonts w:eastAsia="等线" w:ascii="Arial" w:cs="Arial" w:hAnsi="Arial"/>
          <w:sz w:val="22"/>
        </w:rPr>
        <w:t>场馆光污染防控措施完善、针对性强，从设备选型、布局设计、时段管控等方面有效规避光污染风险，运维保障机制健全，能够长期稳定控制光环境质量，避免出现光辐射超标、溢光干扰等问题[superscript:5]；</w:t>
      </w:r>
    </w:p>
    <w:p>
      <w:pPr>
        <w:numPr>
          <w:numId w:val="31"/>
        </w:numPr>
        <w:spacing w:before="120" w:after="120" w:line="288" w:lineRule="auto"/>
        <w:ind w:left="0"/>
        <w:jc w:val="left"/>
      </w:pPr>
      <w:r>
        <w:rPr>
          <w:rFonts w:eastAsia="等线" w:ascii="Arial" w:cs="Arial" w:hAnsi="Arial"/>
          <w:sz w:val="22"/>
        </w:rPr>
        <w:t>本次光污染分析结果完全符合《绿色建筑评价标准》（GB/T 50378-2019）中绿建二星级评价“安全与健康”“环境与宜居”指标要求，分析数据真实可核查、可追溯，可直接适配绿建评价系统填报，为驻马店博物馆绿建二星级评价提供完整、有效的光污染专项佐证依据。</w:t>
      </w:r>
    </w:p>
    <w:p>
      <w:pPr>
        <w:pStyle w:val="2"/>
        <w:spacing w:before="320" w:after="120" w:line="288" w:lineRule="auto"/>
        <w:ind w:left="0"/>
        <w:jc w:val="left"/>
        <w:outlineLvl w:val="1"/>
      </w:pPr>
      <w:bookmarkStart w:name="heading_13" w:id="13"/>
      <w:r>
        <w:rPr>
          <w:rFonts w:eastAsia="等线" w:ascii="Arial" w:cs="Arial" w:hAnsi="Arial"/>
          <w:b w:val="true"/>
          <w:sz w:val="32"/>
        </w:rPr>
        <w:t>七、签字确认（佐证真实性、合规性）</w:t>
      </w:r>
      <w:bookmarkEnd w:id="1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赵XX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日期：2023年12月28日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孙XX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日期：2023年12月29日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驻马店市生态环境监测中心</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日期：2023年12月29日</w:t>
            </w:r>
          </w:p>
        </w:tc>
      </w:tr>
    </w:tbl>
    <w:p>
      <w:pPr>
        <w:pStyle w:val="2"/>
        <w:spacing w:before="320" w:after="120" w:line="288" w:lineRule="auto"/>
        <w:ind w:left="0"/>
        <w:jc w:val="left"/>
        <w:outlineLvl w:val="1"/>
      </w:pPr>
      <w:bookmarkStart w:name="heading_14" w:id="14"/>
      <w:r>
        <w:rPr>
          <w:rFonts w:eastAsia="等线" w:ascii="Arial" w:cs="Arial" w:hAnsi="Arial"/>
          <w:b w:val="true"/>
          <w:sz w:val="32"/>
        </w:rPr>
        <w:t>注释</w:t>
      </w:r>
      <w:bookmarkEnd w:id="14"/>
    </w:p>
    <w:p>
      <w:pPr>
        <w:spacing w:before="120" w:after="120" w:line="288" w:lineRule="auto"/>
        <w:ind w:left="0"/>
        <w:jc w:val="left"/>
      </w:pPr>
      <w:r>
        <w:rPr>
          <w:rFonts w:eastAsia="等线" w:ascii="Arial" w:cs="Arial" w:hAnsi="Arial"/>
          <w:sz w:val="22"/>
        </w:rPr>
        <w:t>[superscript:1] 依据《驻马店日报》2022年4月28日专版发布的《驻马店市城市区域声环境功能区划分》，明确城市公共文化核心区域需严格管控光环境，避免光污染[superscript:1]；</w:t>
      </w:r>
    </w:p>
    <w:p>
      <w:pPr>
        <w:spacing w:before="120" w:after="120" w:line="288" w:lineRule="auto"/>
        <w:ind w:left="0"/>
        <w:jc w:val="left"/>
      </w:pPr>
      <w:r>
        <w:rPr>
          <w:rFonts w:eastAsia="等线" w:ascii="Arial" w:cs="Arial" w:hAnsi="Arial"/>
          <w:sz w:val="22"/>
        </w:rPr>
        <w:t>[superscript:2] 依据人民网2024年2月26日报道，同类公共场馆夜间光辐射强度实测平均值为57.6nW/cm²/sr，本文实测数据远低于该平均值，光环境管控效果良好[superscript:2]；</w:t>
      </w:r>
    </w:p>
    <w:p>
      <w:pPr>
        <w:spacing w:before="120" w:after="120" w:line="288" w:lineRule="auto"/>
        <w:ind w:left="0"/>
        <w:jc w:val="left"/>
      </w:pPr>
      <w:r>
        <w:rPr>
          <w:rFonts w:eastAsia="等线" w:ascii="Arial" w:cs="Arial" w:hAnsi="Arial"/>
          <w:sz w:val="22"/>
        </w:rPr>
        <w:t>[superscript:3] 依据中华人民共和国生态环境部2022年9月1日答复，《室外照明干扰光限制规范》（GB/T 35626-2017）、《玻璃幕墙光热性能》(GB/T 18091-2015）为光污染防治核心标准[superscript:3]；</w:t>
      </w:r>
    </w:p>
    <w:p>
      <w:pPr>
        <w:spacing w:before="120" w:after="120" w:line="288" w:lineRule="auto"/>
        <w:ind w:left="0"/>
        <w:jc w:val="left"/>
      </w:pPr>
      <w:r>
        <w:rPr>
          <w:rFonts w:eastAsia="等线" w:ascii="Arial" w:cs="Arial" w:hAnsi="Arial"/>
          <w:sz w:val="22"/>
        </w:rPr>
        <w:t>[superscript:4] 依据央视网2025年12月1日报道，发光强度（溢光亮度）超过800cd/㎡即构成光污染，本文实测数据均低于该阈值[superscript:4]；</w:t>
      </w:r>
    </w:p>
    <w:p>
      <w:pPr>
        <w:spacing w:before="120" w:after="120" w:line="288" w:lineRule="auto"/>
        <w:ind w:left="0"/>
        <w:jc w:val="left"/>
      </w:pPr>
      <w:r>
        <w:rPr>
          <w:rFonts w:eastAsia="等线" w:ascii="Arial" w:cs="Arial" w:hAnsi="Arial"/>
          <w:sz w:val="22"/>
        </w:rPr>
        <w:t>[superscript:5] 依据中华人民共和国生态环境部2018年8月31日答复，《城市夜景照明设计规范》（JGJ/T163-2008）明确要求控制眩光和光污染，推动绿色照明[superscript:5]。</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62222">
    <w:lvl>
      <w:start w:val="1"/>
      <w:numFmt w:val="decimal"/>
      <w:suff w:val="tab"/>
      <w:lvlText w:val="%1."/>
      <w:rPr>
        <w:color w:val="3370ff"/>
      </w:rPr>
    </w:lvl>
  </w:abstractNum>
  <w:abstractNum w:abstractNumId="562223">
    <w:lvl>
      <w:start w:val="2"/>
      <w:numFmt w:val="decimal"/>
      <w:suff w:val="tab"/>
      <w:lvlText w:val="%1."/>
      <w:rPr>
        <w:color w:val="3370ff"/>
      </w:rPr>
    </w:lvl>
  </w:abstractNum>
  <w:abstractNum w:abstractNumId="562224">
    <w:lvl>
      <w:start w:val="3"/>
      <w:numFmt w:val="decimal"/>
      <w:suff w:val="tab"/>
      <w:lvlText w:val="%1."/>
      <w:rPr>
        <w:color w:val="3370ff"/>
      </w:rPr>
    </w:lvl>
  </w:abstractNum>
  <w:abstractNum w:abstractNumId="562225">
    <w:lvl>
      <w:start w:val="4"/>
      <w:numFmt w:val="decimal"/>
      <w:suff w:val="tab"/>
      <w:lvlText w:val="%1."/>
      <w:rPr>
        <w:color w:val="3370ff"/>
      </w:rPr>
    </w:lvl>
  </w:abstractNum>
  <w:abstractNum w:abstractNumId="562226">
    <w:lvl>
      <w:start w:val="5"/>
      <w:numFmt w:val="decimal"/>
      <w:suff w:val="tab"/>
      <w:lvlText w:val="%1."/>
      <w:rPr>
        <w:color w:val="3370ff"/>
      </w:rPr>
    </w:lvl>
  </w:abstractNum>
  <w:abstractNum w:abstractNumId="562227">
    <w:lvl>
      <w:start w:val="6"/>
      <w:numFmt w:val="decimal"/>
      <w:suff w:val="tab"/>
      <w:lvlText w:val="%1."/>
      <w:rPr>
        <w:color w:val="3370ff"/>
      </w:rPr>
    </w:lvl>
  </w:abstractNum>
  <w:abstractNum w:abstractNumId="562228">
    <w:lvl>
      <w:start w:val="7"/>
      <w:numFmt w:val="decimal"/>
      <w:suff w:val="tab"/>
      <w:lvlText w:val="%1."/>
      <w:rPr>
        <w:color w:val="3370ff"/>
      </w:rPr>
    </w:lvl>
  </w:abstractNum>
  <w:abstractNum w:abstractNumId="562229">
    <w:lvl>
      <w:start w:val="8"/>
      <w:numFmt w:val="decimal"/>
      <w:suff w:val="tab"/>
      <w:lvlText w:val="%1."/>
      <w:rPr>
        <w:color w:val="3370ff"/>
      </w:rPr>
    </w:lvl>
  </w:abstractNum>
  <w:abstractNum w:abstractNumId="562230">
    <w:lvl>
      <w:start w:val="9"/>
      <w:numFmt w:val="decimal"/>
      <w:suff w:val="tab"/>
      <w:lvlText w:val="%1."/>
      <w:rPr>
        <w:color w:val="3370ff"/>
      </w:rPr>
    </w:lvl>
  </w:abstractNum>
  <w:abstractNum w:abstractNumId="562231">
    <w:lvl>
      <w:start w:val="1"/>
      <w:numFmt w:val="decimal"/>
      <w:suff w:val="tab"/>
      <w:lvlText w:val="%1."/>
      <w:rPr>
        <w:color w:val="3370ff"/>
      </w:rPr>
    </w:lvl>
  </w:abstractNum>
  <w:abstractNum w:abstractNumId="562232">
    <w:lvl>
      <w:start w:val="2"/>
      <w:numFmt w:val="decimal"/>
      <w:suff w:val="tab"/>
      <w:lvlText w:val="%1."/>
      <w:rPr>
        <w:color w:val="3370ff"/>
      </w:rPr>
    </w:lvl>
  </w:abstractNum>
  <w:abstractNum w:abstractNumId="562233">
    <w:lvl>
      <w:start w:val="3"/>
      <w:numFmt w:val="decimal"/>
      <w:suff w:val="tab"/>
      <w:lvlText w:val="%1."/>
      <w:rPr>
        <w:color w:val="3370ff"/>
      </w:rPr>
    </w:lvl>
  </w:abstractNum>
  <w:abstractNum w:abstractNumId="562234">
    <w:lvl>
      <w:start w:val="4"/>
      <w:numFmt w:val="decimal"/>
      <w:suff w:val="tab"/>
      <w:lvlText w:val="%1."/>
      <w:rPr>
        <w:color w:val="3370ff"/>
      </w:rPr>
    </w:lvl>
  </w:abstractNum>
  <w:abstractNum w:abstractNumId="562235">
    <w:lvl>
      <w:start w:val="1"/>
      <w:numFmt w:val="decimal"/>
      <w:suff w:val="tab"/>
      <w:lvlText w:val="%1."/>
      <w:rPr>
        <w:color w:val="3370ff"/>
      </w:rPr>
    </w:lvl>
  </w:abstractNum>
  <w:abstractNum w:abstractNumId="562236">
    <w:lvl>
      <w:start w:val="2"/>
      <w:numFmt w:val="decimal"/>
      <w:suff w:val="tab"/>
      <w:lvlText w:val="%1."/>
      <w:rPr>
        <w:color w:val="3370ff"/>
      </w:rPr>
    </w:lvl>
  </w:abstractNum>
  <w:abstractNum w:abstractNumId="562237">
    <w:lvl>
      <w:start w:val="3"/>
      <w:numFmt w:val="decimal"/>
      <w:suff w:val="tab"/>
      <w:lvlText w:val="%1."/>
      <w:rPr>
        <w:color w:val="3370ff"/>
      </w:rPr>
    </w:lvl>
  </w:abstractNum>
  <w:abstractNum w:abstractNumId="562238">
    <w:lvl>
      <w:start w:val="1"/>
      <w:numFmt w:val="decimal"/>
      <w:suff w:val="tab"/>
      <w:lvlText w:val="%1."/>
      <w:rPr>
        <w:color w:val="3370ff"/>
      </w:rPr>
    </w:lvl>
  </w:abstractNum>
  <w:abstractNum w:abstractNumId="562239">
    <w:lvl>
      <w:start w:val="2"/>
      <w:numFmt w:val="decimal"/>
      <w:suff w:val="tab"/>
      <w:lvlText w:val="%1."/>
      <w:rPr>
        <w:color w:val="3370ff"/>
      </w:rPr>
    </w:lvl>
  </w:abstractNum>
  <w:abstractNum w:abstractNumId="562240">
    <w:lvl>
      <w:start w:val="3"/>
      <w:numFmt w:val="decimal"/>
      <w:suff w:val="tab"/>
      <w:lvlText w:val="%1."/>
      <w:rPr>
        <w:color w:val="3370ff"/>
      </w:rPr>
    </w:lvl>
  </w:abstractNum>
  <w:abstractNum w:abstractNumId="562241">
    <w:lvl>
      <w:start w:val="1"/>
      <w:numFmt w:val="decimal"/>
      <w:suff w:val="tab"/>
      <w:lvlText w:val="%1."/>
      <w:rPr>
        <w:color w:val="3370ff"/>
      </w:rPr>
    </w:lvl>
  </w:abstractNum>
  <w:abstractNum w:abstractNumId="562242">
    <w:lvl>
      <w:start w:val="2"/>
      <w:numFmt w:val="decimal"/>
      <w:suff w:val="tab"/>
      <w:lvlText w:val="%1."/>
      <w:rPr>
        <w:color w:val="3370ff"/>
      </w:rPr>
    </w:lvl>
  </w:abstractNum>
  <w:abstractNum w:abstractNumId="562243">
    <w:lvl>
      <w:start w:val="3"/>
      <w:numFmt w:val="decimal"/>
      <w:suff w:val="tab"/>
      <w:lvlText w:val="%1."/>
      <w:rPr>
        <w:color w:val="3370ff"/>
      </w:rPr>
    </w:lvl>
  </w:abstractNum>
  <w:abstractNum w:abstractNumId="562244">
    <w:lvl>
      <w:start w:val="4"/>
      <w:numFmt w:val="decimal"/>
      <w:suff w:val="tab"/>
      <w:lvlText w:val="%1."/>
      <w:rPr>
        <w:color w:val="3370ff"/>
      </w:rPr>
    </w:lvl>
  </w:abstractNum>
  <w:abstractNum w:abstractNumId="562245">
    <w:lvl>
      <w:start w:val="1"/>
      <w:numFmt w:val="decimal"/>
      <w:suff w:val="tab"/>
      <w:lvlText w:val="%1."/>
      <w:rPr>
        <w:color w:val="3370ff"/>
      </w:rPr>
    </w:lvl>
  </w:abstractNum>
  <w:abstractNum w:abstractNumId="562246">
    <w:lvl>
      <w:start w:val="2"/>
      <w:numFmt w:val="decimal"/>
      <w:suff w:val="tab"/>
      <w:lvlText w:val="%1."/>
      <w:rPr>
        <w:color w:val="3370ff"/>
      </w:rPr>
    </w:lvl>
  </w:abstractNum>
  <w:abstractNum w:abstractNumId="562247">
    <w:lvl>
      <w:start w:val="3"/>
      <w:numFmt w:val="decimal"/>
      <w:suff w:val="tab"/>
      <w:lvlText w:val="%1."/>
      <w:rPr>
        <w:color w:val="3370ff"/>
      </w:rPr>
    </w:lvl>
  </w:abstractNum>
  <w:abstractNum w:abstractNumId="562248">
    <w:lvl>
      <w:start w:val="4"/>
      <w:numFmt w:val="decimal"/>
      <w:suff w:val="tab"/>
      <w:lvlText w:val="%1."/>
      <w:rPr>
        <w:color w:val="3370ff"/>
      </w:rPr>
    </w:lvl>
  </w:abstractNum>
  <w:abstractNum w:abstractNumId="562249">
    <w:lvl>
      <w:start w:val="1"/>
      <w:numFmt w:val="decimal"/>
      <w:suff w:val="tab"/>
      <w:lvlText w:val="%1."/>
      <w:rPr>
        <w:color w:val="3370ff"/>
      </w:rPr>
    </w:lvl>
  </w:abstractNum>
  <w:abstractNum w:abstractNumId="562250">
    <w:lvl>
      <w:start w:val="2"/>
      <w:numFmt w:val="decimal"/>
      <w:suff w:val="tab"/>
      <w:lvlText w:val="%1."/>
      <w:rPr>
        <w:color w:val="3370ff"/>
      </w:rPr>
    </w:lvl>
  </w:abstractNum>
  <w:abstractNum w:abstractNumId="562251">
    <w:lvl>
      <w:start w:val="3"/>
      <w:numFmt w:val="decimal"/>
      <w:suff w:val="tab"/>
      <w:lvlText w:val="%1."/>
      <w:rPr>
        <w:color w:val="3370ff"/>
      </w:rPr>
    </w:lvl>
  </w:abstractNum>
  <w:abstractNum w:abstractNumId="562252">
    <w:lvl>
      <w:start w:val="4"/>
      <w:numFmt w:val="decimal"/>
      <w:suff w:val="tab"/>
      <w:lvlText w:val="%1."/>
      <w:rPr>
        <w:color w:val="3370ff"/>
      </w:rPr>
    </w:lvl>
  </w:abstractNum>
  <w:num w:numId="1">
    <w:abstractNumId w:val="562222"/>
  </w:num>
  <w:num w:numId="2">
    <w:abstractNumId w:val="562223"/>
  </w:num>
  <w:num w:numId="3">
    <w:abstractNumId w:val="562224"/>
  </w:num>
  <w:num w:numId="4">
    <w:abstractNumId w:val="562225"/>
  </w:num>
  <w:num w:numId="5">
    <w:abstractNumId w:val="562226"/>
  </w:num>
  <w:num w:numId="6">
    <w:abstractNumId w:val="562227"/>
  </w:num>
  <w:num w:numId="7">
    <w:abstractNumId w:val="562228"/>
  </w:num>
  <w:num w:numId="8">
    <w:abstractNumId w:val="562229"/>
  </w:num>
  <w:num w:numId="9">
    <w:abstractNumId w:val="562230"/>
  </w:num>
  <w:num w:numId="10">
    <w:abstractNumId w:val="562231"/>
  </w:num>
  <w:num w:numId="11">
    <w:abstractNumId w:val="562232"/>
  </w:num>
  <w:num w:numId="12">
    <w:abstractNumId w:val="562233"/>
  </w:num>
  <w:num w:numId="13">
    <w:abstractNumId w:val="562234"/>
  </w:num>
  <w:num w:numId="14">
    <w:abstractNumId w:val="562235"/>
  </w:num>
  <w:num w:numId="15">
    <w:abstractNumId w:val="562236"/>
  </w:num>
  <w:num w:numId="16">
    <w:abstractNumId w:val="562237"/>
  </w:num>
  <w:num w:numId="17">
    <w:abstractNumId w:val="562238"/>
  </w:num>
  <w:num w:numId="18">
    <w:abstractNumId w:val="562239"/>
  </w:num>
  <w:num w:numId="19">
    <w:abstractNumId w:val="562240"/>
  </w:num>
  <w:num w:numId="20">
    <w:abstractNumId w:val="562241"/>
  </w:num>
  <w:num w:numId="21">
    <w:abstractNumId w:val="562242"/>
  </w:num>
  <w:num w:numId="22">
    <w:abstractNumId w:val="562243"/>
  </w:num>
  <w:num w:numId="23">
    <w:abstractNumId w:val="562244"/>
  </w:num>
  <w:num w:numId="24">
    <w:abstractNumId w:val="562245"/>
  </w:num>
  <w:num w:numId="25">
    <w:abstractNumId w:val="562246"/>
  </w:num>
  <w:num w:numId="26">
    <w:abstractNumId w:val="562247"/>
  </w:num>
  <w:num w:numId="27">
    <w:abstractNumId w:val="562248"/>
  </w:num>
  <w:num w:numId="28">
    <w:abstractNumId w:val="562249"/>
  </w:num>
  <w:num w:numId="29">
    <w:abstractNumId w:val="562250"/>
  </w:num>
  <w:num w:numId="30">
    <w:abstractNumId w:val="562251"/>
  </w:num>
  <w:num w:numId="31">
    <w:abstractNumId w:val="56225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2026-03-28T10:45:48Z</dcterms:created>
  <dc:creator>Apache POI</dc:creator>
</cp:coreProperties>
</file>