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全装修部位实景说明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说明编号</w:t>
      </w:r>
      <w:r>
        <w:rPr>
          <w:rFonts w:ascii="Arial" w:hAnsi="Arial" w:eastAsia="等线" w:cs="Arial"/>
          <w:sz w:val="22"/>
        </w:rPr>
        <w:t>：LS-ZX-2026-097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编制人</w:t>
      </w:r>
      <w:r>
        <w:rPr>
          <w:rFonts w:ascii="Arial" w:hAnsi="Arial" w:eastAsia="等线" w:cs="Arial"/>
          <w:sz w:val="22"/>
        </w:rPr>
        <w:t>：刘工（一级注册建筑师）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审核人</w:t>
      </w:r>
      <w:r>
        <w:rPr>
          <w:rFonts w:ascii="Arial" w:hAnsi="Arial" w:eastAsia="等线" w:cs="Arial"/>
          <w:sz w:val="22"/>
        </w:rPr>
        <w:t>：陈工（高级工程师）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编制依据与说明概况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项目基础信息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全装修部位界定与范围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全装修部位实景详情与标准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装修造价与装饰性构件管控说明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绿建评价符合性结论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附件与签字盖章页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编制依据与说明概况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编制依据</w:t>
      </w:r>
      <w:bookmarkEnd w:id="2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《公共建筑室内装修设计标准》GB 50222-2017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《建筑装饰装修工程质量验收标准》GB 50210-2018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本项目建筑施工图、室内装修施工图、实景影像资料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本项目装修工程造价核算资料、装饰性构件造价计算书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说明概况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说明针对辰光溯昔博物馆项目全装修部位进行专项梳理，明确装修范围、实景效果、装修标准及造价管控情况，同步佐证建筑造型简约、无大量装饰性构件的绿建要求，所有数据均参照项目实际装修情况、豫南地区公建装修标准测算，真实有效，作为绿建评价申报配套支撑资料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项目基础信息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公共文化建筑（博物馆）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装修类型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公共建筑全装修，简约生态风格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绿建管控要求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公共建筑装饰性构件造价占比≤1%，建筑造型简约无冗余装饰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全装修部位界定与范围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本项目为公共文化博物馆，按照绿建及公建装修要求，实现</w:t>
      </w:r>
      <w:r>
        <w:rPr>
          <w:rFonts w:ascii="Arial" w:hAnsi="Arial" w:eastAsia="等线" w:cs="Arial"/>
          <w:b/>
          <w:sz w:val="22"/>
        </w:rPr>
        <w:t>全域全装修覆盖</w:t>
      </w:r>
      <w:r>
        <w:rPr>
          <w:rFonts w:ascii="Arial" w:hAnsi="Arial" w:eastAsia="等线" w:cs="Arial"/>
          <w:sz w:val="22"/>
        </w:rPr>
        <w:t>，无毛坯区域，全装修部位包含室内公共区域、功能用房、外立面功能性装修，具体范围如下：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室内核心区域</w:t>
      </w:r>
      <w:r>
        <w:rPr>
          <w:rFonts w:ascii="Arial" w:hAnsi="Arial" w:eastAsia="等线" w:cs="Arial"/>
          <w:sz w:val="22"/>
        </w:rPr>
        <w:t>：展览展厅、文物库房、公共大厅、休息区、过道走廊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配套功能区域</w:t>
      </w:r>
      <w:r>
        <w:rPr>
          <w:rFonts w:ascii="Arial" w:hAnsi="Arial" w:eastAsia="等线" w:cs="Arial"/>
          <w:sz w:val="22"/>
        </w:rPr>
        <w:t>：行政办公室、会议室、接待室、设备机房、卫生间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外立面装修部位</w:t>
      </w:r>
      <w:r>
        <w:rPr>
          <w:rFonts w:ascii="Arial" w:hAnsi="Arial" w:eastAsia="等线" w:cs="Arial"/>
          <w:sz w:val="22"/>
        </w:rPr>
        <w:t>：外墙饰面、节能玻璃幕墙、入口大堂门头（功能性装修）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细部装修部位</w:t>
      </w:r>
      <w:r>
        <w:rPr>
          <w:rFonts w:ascii="Arial" w:hAnsi="Arial" w:eastAsia="等线" w:cs="Arial"/>
          <w:sz w:val="22"/>
        </w:rPr>
        <w:t>：楼地面、墙面、吊顶、门窗、固定家具、洁具灯具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全装修部位均为功能性装修，严格区分装饰性构件与功能性构件，装饰性构件仅为少量造型点缀，无大面积冗余装饰。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全装修部位实景详情与标准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室内公共区域（展厅、大厅）实景概况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内主打简约生态装修风格，墙面采用浅灰色环保乳胶漆、局部清水混凝土饰面，无复杂造型；楼地面铺设防滑哑光地砖，平整度高、实用性强；吊顶为平面极简吊顶，内嵌节能灯具，无叠级、雕花等装饰性造型；整体空间通透简洁，贴合博物馆展陈需求，实景呈现规整大气、无冗余装饰的效果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装修标准</w:t>
      </w:r>
      <w:r>
        <w:rPr>
          <w:rFonts w:ascii="Arial" w:hAnsi="Arial" w:eastAsia="等线" w:cs="Arial"/>
          <w:sz w:val="22"/>
        </w:rPr>
        <w:t>：墙面乳胶漆（环保型）、防滑地砖楼面、极简平板吊顶、LED节能灯具、不锈钢简约扶手。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功能用房（办公、库房、卫生间）实景概况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办公区域墙面采用环保壁纸，地面为复合实木地板，吊顶为平面石膏板；文物库房为防尘防静电装修，地面采用防静电地坪，墙面密闭防尘；卫生间采用防滑瓷砖、节水洁具，装修简洁实用；所有功能用房均以实用为主，无多余装饰性构件，实景规整统一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装修标准</w:t>
      </w:r>
      <w:r>
        <w:rPr>
          <w:rFonts w:ascii="Arial" w:hAnsi="Arial" w:eastAsia="等线" w:cs="Arial"/>
          <w:sz w:val="22"/>
        </w:rPr>
        <w:t>：复合木地板、防静电地坪、节水洁具、节能门窗、简约固定柜体。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外立面装修实景概况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立面以清水混凝土、节能玻璃幕墙为主，搭配少量铝合金线条（功能性线条），整体造型平直规整，无弧形、异形等复杂造型，无大面积浮雕、雕花等装饰性构件；入口门头为简约平顶设计，仅做功能性饰面，实景呈现简约生态的建筑造型，符合绿建造型管控要求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装修标准</w:t>
      </w:r>
      <w:r>
        <w:rPr>
          <w:rFonts w:ascii="Arial" w:hAnsi="Arial" w:eastAsia="等线" w:cs="Arial"/>
          <w:sz w:val="22"/>
        </w:rPr>
        <w:t>：清水混凝土饰面、节能玻璃幕墙、铝合金功能性线条、石材饰面门头。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4.4 全装修实景核心特点</w:t>
      </w:r>
      <w:bookmarkEnd w:id="10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装修风格极简，无复杂造型、无大量装饰性构件，建筑造型要素简约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全装修部位全覆盖，装修材质环保节能，符合绿色建筑装修理念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装饰性构件仅为局部点缀，造价占比极低，远低于绿建1%限值要求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实景效果规整统一，兼顾实用性、美观性与生态性</w:t>
      </w: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5 装修造价与装饰性构件管控说明</w:t>
      </w:r>
      <w:bookmarkEnd w:id="11"/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5.1 全装修工程总造价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本项目全装修工程总造价（含室内外功能性装修）为：</w:t>
      </w:r>
      <w:r>
        <w:rPr>
          <w:rFonts w:ascii="Arial" w:hAnsi="Arial" w:eastAsia="等线" w:cs="Arial"/>
          <w:b/>
          <w:sz w:val="22"/>
        </w:rPr>
        <w:t>22580000.00元（大写：人民币贰仟贰佰伍拾捌万元整）</w:t>
      </w:r>
      <w:r>
        <w:rPr>
          <w:rFonts w:ascii="Arial" w:hAnsi="Arial" w:eastAsia="等线" w:cs="Arial"/>
          <w:sz w:val="22"/>
        </w:rPr>
        <w:t>，该费用仅包含功能性装修费用，不含纯装饰性构件造价。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5.2 装饰性构件造价与占比管控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参照《绿色建筑评价标准》，本项目纯装饰性构件（无实用功能、仅造型点缀）总造价为</w:t>
      </w:r>
      <w:r>
        <w:rPr>
          <w:rFonts w:ascii="Arial" w:hAnsi="Arial" w:eastAsia="等线" w:cs="Arial"/>
          <w:b/>
          <w:sz w:val="22"/>
        </w:rPr>
        <w:t>314000.00元</w:t>
      </w:r>
      <w:r>
        <w:rPr>
          <w:rFonts w:ascii="Arial" w:hAnsi="Arial" w:eastAsia="等线" w:cs="Arial"/>
          <w:sz w:val="22"/>
        </w:rPr>
        <w:t>，建筑工程总造价为</w:t>
      </w:r>
      <w:r>
        <w:rPr>
          <w:rFonts w:ascii="Arial" w:hAnsi="Arial" w:eastAsia="等线" w:cs="Arial"/>
          <w:b/>
          <w:sz w:val="22"/>
        </w:rPr>
        <w:t>93490000.00元</w:t>
      </w:r>
      <w:r>
        <w:rPr>
          <w:rFonts w:ascii="Arial" w:hAnsi="Arial" w:eastAsia="等线" w:cs="Arial"/>
          <w:sz w:val="22"/>
        </w:rPr>
        <w:t>，经核算：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装饰性构件造价占比=（314000.00÷93490000.00）×100%≈0.336%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该占比远低于公共建筑装饰性构件造价占比≤1%的强制性要求，且装饰性构件均为小型点缀构件，无大量装饰性构件，完全符合绿建管控标准。</w:t>
      </w: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6 绿建评价符合性结论</w:t>
      </w:r>
      <w:bookmarkEnd w:id="14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本项目全装修部位实现全域覆盖，实景呈现简约生态风格，建筑造型要素简洁，无大量装饰性构件；装饰性构件造价占比仅为0.336%，远低于公共建筑≤1%的绿建限值要求，满足《绿色建筑评价标准》GB/T 50378-2019相关条款规定。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910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2026-03-24T10:04:00Z</dcterms:created>
  <dc:creator>Apache POI</dc:creator>
  <cp:lastModifiedBy>hp</cp:lastModifiedBy>
  <dcterms:modified xsi:type="dcterms:W3CDTF">2026-03-24T10:05:23Z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