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ageBreakBefore w:val="0"/>
        <w:wordWrap/>
        <w:spacing w:before="160" w:after="0"/>
        <w:ind w:left="0" w:right="0"/>
        <w:jc w:val="left"/>
        <w:textAlignment w:val="auto"/>
        <w:rPr>
          <w:sz w:val="28"/>
        </w:rPr>
      </w:pPr>
      <w:bookmarkStart w:id="0" w:name="_GoBack"/>
      <w:bookmarkEnd w:id="0"/>
      <w:r>
        <w:rPr>
          <w:rFonts w:ascii="宋体" w:eastAsia="宋体" w:cs="宋体"/>
          <w:b/>
          <w:i w:val="0"/>
          <w:spacing w:val="0"/>
          <w:sz w:val="28"/>
        </w:rPr>
        <w:t>驻马店博物馆绿色建筑评价项目概况说明</w:t>
      </w:r>
    </w:p>
    <w:p>
      <w:pPr>
        <w:pageBreakBefore w:val="0"/>
        <w:wordWrap/>
        <w:spacing w:before="160" w:after="0"/>
        <w:ind w:left="0" w:right="0"/>
        <w:jc w:val="left"/>
        <w:textAlignment w:val="auto"/>
        <w:rPr>
          <w:sz w:val="24"/>
        </w:rPr>
      </w:pPr>
      <w:r>
        <w:rPr>
          <w:rFonts w:ascii="宋体" w:eastAsia="宋体" w:cs="宋体"/>
          <w:b/>
          <w:i w:val="0"/>
          <w:spacing w:val="0"/>
          <w:sz w:val="24"/>
        </w:rPr>
        <w:t>项目名称</w:t>
      </w:r>
      <w:r>
        <w:rPr>
          <w:rFonts w:ascii="宋体" w:eastAsia="宋体" w:cs="宋体"/>
          <w:b w:val="0"/>
          <w:i w:val="0"/>
          <w:spacing w:val="0"/>
          <w:sz w:val="24"/>
        </w:rPr>
        <w:t>：驻马店市博物馆新馆</w:t>
      </w:r>
    </w:p>
    <w:p>
      <w:pPr>
        <w:pageBreakBefore w:val="0"/>
        <w:wordWrap/>
        <w:spacing w:before="160" w:after="0"/>
        <w:ind w:left="0" w:right="0"/>
        <w:jc w:val="left"/>
        <w:textAlignment w:val="auto"/>
        <w:rPr>
          <w:sz w:val="24"/>
        </w:rPr>
      </w:pPr>
      <w:r>
        <w:rPr>
          <w:rFonts w:ascii="宋体" w:eastAsia="宋体" w:cs="宋体"/>
          <w:b/>
          <w:i w:val="0"/>
          <w:spacing w:val="0"/>
          <w:sz w:val="24"/>
        </w:rPr>
        <w:t>项目地点</w:t>
      </w:r>
      <w:r>
        <w:rPr>
          <w:rFonts w:ascii="宋体" w:eastAsia="宋体" w:cs="宋体"/>
          <w:b w:val="0"/>
          <w:i w:val="0"/>
          <w:spacing w:val="0"/>
          <w:sz w:val="24"/>
        </w:rPr>
        <w:t>：河南省驻马店市</w:t>
      </w:r>
    </w:p>
    <w:p>
      <w:pPr>
        <w:pageBreakBefore w:val="0"/>
        <w:wordWrap/>
        <w:spacing w:before="160" w:after="0"/>
        <w:ind w:left="0" w:right="0"/>
        <w:jc w:val="left"/>
        <w:textAlignment w:val="auto"/>
        <w:rPr>
          <w:sz w:val="24"/>
        </w:rPr>
      </w:pPr>
      <w:r>
        <w:rPr>
          <w:rFonts w:ascii="宋体" w:eastAsia="宋体" w:cs="宋体"/>
          <w:b/>
          <w:i w:val="0"/>
          <w:spacing w:val="0"/>
          <w:sz w:val="24"/>
        </w:rPr>
        <w:t>建筑类型</w:t>
      </w:r>
      <w:r>
        <w:rPr>
          <w:rFonts w:ascii="宋体" w:eastAsia="宋体" w:cs="宋体"/>
          <w:b w:val="0"/>
          <w:i w:val="0"/>
          <w:spacing w:val="0"/>
          <w:sz w:val="24"/>
        </w:rPr>
        <w:t>：文化博览建筑（特大型博物馆）</w:t>
      </w:r>
    </w:p>
    <w:p>
      <w:pPr>
        <w:pageBreakBefore w:val="0"/>
        <w:wordWrap/>
        <w:spacing w:before="160" w:after="0"/>
        <w:ind w:left="0" w:right="0"/>
        <w:jc w:val="left"/>
        <w:textAlignment w:val="auto"/>
        <w:rPr>
          <w:sz w:val="24"/>
        </w:rPr>
      </w:pPr>
      <w:r>
        <w:rPr>
          <w:rFonts w:ascii="宋体" w:eastAsia="宋体" w:cs="宋体"/>
          <w:b/>
          <w:i w:val="0"/>
          <w:spacing w:val="0"/>
          <w:sz w:val="24"/>
        </w:rPr>
        <w:t>申报单位</w:t>
      </w:r>
      <w:r>
        <w:rPr>
          <w:rFonts w:ascii="宋体" w:eastAsia="宋体" w:cs="宋体"/>
          <w:b w:val="0"/>
          <w:i w:val="0"/>
          <w:spacing w:val="0"/>
          <w:sz w:val="24"/>
        </w:rPr>
        <w:t>：驻马店市博物馆 / 驻马店市文化广电和旅游局</w:t>
      </w:r>
    </w:p>
    <w:p>
      <w:pPr>
        <w:pageBreakBefore w:val="0"/>
        <w:wordWrap/>
        <w:spacing w:before="160" w:after="0"/>
        <w:ind w:left="0" w:right="0"/>
        <w:jc w:val="left"/>
        <w:textAlignment w:val="auto"/>
        <w:rPr>
          <w:sz w:val="24"/>
        </w:rPr>
      </w:pPr>
      <w:r>
        <w:rPr>
          <w:rFonts w:ascii="宋体" w:eastAsia="宋体" w:cs="宋体"/>
          <w:b/>
          <w:i w:val="0"/>
          <w:spacing w:val="0"/>
          <w:sz w:val="24"/>
        </w:rPr>
        <w:t>一、 基本建设指标</w:t>
      </w:r>
    </w:p>
    <w:p>
      <w:pPr>
        <w:pageBreakBefore w:val="0"/>
        <w:wordWrap/>
        <w:spacing w:before="160" w:after="0"/>
        <w:ind w:left="0" w:right="0"/>
        <w:jc w:val="left"/>
        <w:textAlignment w:val="auto"/>
        <w:rPr>
          <w:sz w:val="24"/>
        </w:rPr>
      </w:pPr>
      <w:r>
        <w:rPr>
          <w:rFonts w:ascii="宋体" w:eastAsia="宋体" w:cs="宋体"/>
          <w:b w:val="0"/>
          <w:i w:val="0"/>
          <w:spacing w:val="0"/>
          <w:sz w:val="24"/>
        </w:rPr>
        <w:t>本项目依据《绿色建筑评价标准》（GB/T 50378）及《公共建筑节能设计标准》（GB 50189）进行设计与建设，主要物理指标如下：</w:t>
      </w:r>
    </w:p>
    <w:tbl>
      <w:tblPr>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0" w:type="dxa"/>
          <w:bottom w:w="0" w:type="dxa"/>
          <w:right w:w="0" w:type="dxa"/>
        </w:tblCellMar>
      </w:tblPr>
      <w:tblGrid>
        <w:gridCol w:w="2720"/>
        <w:gridCol w:w="2720"/>
        <w:gridCol w:w="2720"/>
      </w:tblGrid>
      <w:tr>
        <w:trPr>
          <w:trHeight w:val="800"/>
        </w:trPr>
        <w:tc>
          <w:tcPr>
            <w:tcW w:w="2720" w:type="dxa"/>
            <w:shd w:val="clear" w:color="auto" w:fill="EEEEEE"/>
          </w:tcPr>
          <w:p>
            <w:pPr>
              <w:pageBreakBefore w:val="0"/>
              <w:wordWrap/>
              <w:spacing w:before="0" w:after="0"/>
              <w:ind w:left="0" w:right="0" w:firstLine="0"/>
              <w:jc w:val="left"/>
              <w:textAlignment w:val="auto"/>
              <w:rPr>
                <w:sz w:val="24"/>
              </w:rPr>
            </w:pPr>
            <w:r>
              <w:rPr>
                <w:rFonts w:ascii="宋体" w:eastAsia="宋体" w:cs="宋体"/>
                <w:b w:val="0"/>
                <w:i w:val="0"/>
                <w:spacing w:val="0"/>
                <w:sz w:val="24"/>
              </w:rPr>
              <w:t>指标类别</w:t>
            </w:r>
          </w:p>
        </w:tc>
        <w:tc>
          <w:tcPr>
            <w:tcW w:w="2720" w:type="dxa"/>
            <w:shd w:val="clear" w:color="auto" w:fill="EEEEEE"/>
          </w:tcPr>
          <w:p>
            <w:pPr>
              <w:pageBreakBefore w:val="0"/>
              <w:wordWrap/>
              <w:spacing w:before="0" w:after="0"/>
              <w:ind w:left="0" w:right="0" w:firstLine="0"/>
              <w:jc w:val="left"/>
              <w:textAlignment w:val="auto"/>
              <w:rPr>
                <w:sz w:val="24"/>
              </w:rPr>
            </w:pPr>
            <w:r>
              <w:rPr>
                <w:rFonts w:ascii="宋体" w:eastAsia="宋体" w:cs="宋体"/>
                <w:b w:val="0"/>
                <w:i w:val="0"/>
                <w:spacing w:val="0"/>
                <w:sz w:val="24"/>
              </w:rPr>
              <w:t>具体参数</w:t>
            </w:r>
          </w:p>
        </w:tc>
        <w:tc>
          <w:tcPr>
            <w:tcW w:w="2720" w:type="dxa"/>
            <w:shd w:val="clear" w:color="auto" w:fill="EEEEEE"/>
          </w:tcPr>
          <w:p>
            <w:pPr>
              <w:pageBreakBefore w:val="0"/>
              <w:wordWrap/>
              <w:spacing w:before="0" w:after="0"/>
              <w:ind w:left="0" w:right="0" w:firstLine="0"/>
              <w:jc w:val="left"/>
              <w:textAlignment w:val="auto"/>
              <w:rPr>
                <w:sz w:val="24"/>
              </w:rPr>
            </w:pPr>
            <w:r>
              <w:rPr>
                <w:rFonts w:ascii="宋体" w:eastAsia="宋体" w:cs="宋体"/>
                <w:b w:val="0"/>
                <w:i w:val="0"/>
                <w:spacing w:val="0"/>
                <w:sz w:val="24"/>
              </w:rPr>
              <w:t>备注</w:t>
            </w:r>
          </w:p>
        </w:tc>
      </w:tr>
      <w:tr>
        <w:trPr>
          <w:trHeight w:val="800"/>
        </w:trPr>
        <w:tc>
          <w:tcPr>
            <w:tcW w:w="2720" w:type="dxa"/>
          </w:tcPr>
          <w:p>
            <w:pPr>
              <w:pageBreakBefore w:val="0"/>
              <w:wordWrap/>
              <w:spacing w:before="0" w:after="0"/>
              <w:ind w:left="0" w:right="0" w:firstLine="0"/>
              <w:jc w:val="left"/>
              <w:textAlignment w:val="auto"/>
              <w:rPr>
                <w:sz w:val="24"/>
              </w:rPr>
            </w:pPr>
            <w:r>
              <w:rPr>
                <w:rFonts w:ascii="宋体" w:eastAsia="宋体" w:cs="宋体"/>
                <w:b/>
                <w:i w:val="0"/>
                <w:spacing w:val="0"/>
                <w:sz w:val="24"/>
              </w:rPr>
              <w:t>总用地面积</w:t>
            </w:r>
          </w:p>
        </w:tc>
        <w:tc>
          <w:tcPr>
            <w:tcW w:w="2720" w:type="dxa"/>
          </w:tcPr>
          <w:p>
            <w:pPr>
              <w:pageBreakBefore w:val="0"/>
              <w:wordWrap/>
              <w:spacing w:before="0" w:after="0"/>
              <w:ind w:left="0" w:right="0" w:firstLine="0"/>
              <w:jc w:val="left"/>
              <w:textAlignment w:val="auto"/>
              <w:rPr>
                <w:sz w:val="24"/>
              </w:rPr>
            </w:pPr>
            <w:r>
              <w:rPr>
                <w:rFonts w:ascii="宋体" w:eastAsia="宋体" w:cs="宋体"/>
                <w:b/>
                <w:i w:val="0"/>
                <w:spacing w:val="0"/>
                <w:sz w:val="24"/>
              </w:rPr>
              <w:t>60,000 ㎡</w:t>
            </w:r>
          </w:p>
        </w:tc>
        <w:tc>
          <w:tcPr>
            <w:tcW w:w="2720" w:type="dxa"/>
          </w:tcPr>
          <w:p>
            <w:pPr>
              <w:pageBreakBefore w:val="0"/>
              <w:wordWrap/>
              <w:spacing w:before="0" w:after="0"/>
              <w:ind w:left="0" w:right="0" w:firstLine="0"/>
              <w:jc w:val="left"/>
              <w:textAlignment w:val="auto"/>
              <w:rPr>
                <w:sz w:val="24"/>
              </w:rPr>
            </w:pPr>
            <w:r>
              <w:rPr>
                <w:rFonts w:ascii="宋体" w:eastAsia="宋体" w:cs="宋体"/>
                <w:b w:val="0"/>
                <w:i w:val="0"/>
                <w:spacing w:val="0"/>
                <w:sz w:val="24"/>
              </w:rPr>
              <w:t>规划红线范围</w:t>
            </w:r>
          </w:p>
        </w:tc>
      </w:tr>
      <w:tr>
        <w:trPr>
          <w:trHeight w:val="800"/>
        </w:trPr>
        <w:tc>
          <w:tcPr>
            <w:tcW w:w="2720" w:type="dxa"/>
          </w:tcPr>
          <w:p>
            <w:pPr>
              <w:pageBreakBefore w:val="0"/>
              <w:wordWrap/>
              <w:spacing w:before="0" w:after="0"/>
              <w:ind w:left="0" w:right="0" w:firstLine="0"/>
              <w:jc w:val="left"/>
              <w:textAlignment w:val="auto"/>
              <w:rPr>
                <w:sz w:val="24"/>
              </w:rPr>
            </w:pPr>
            <w:r>
              <w:rPr>
                <w:rFonts w:ascii="宋体" w:eastAsia="宋体" w:cs="宋体"/>
                <w:b/>
                <w:i w:val="0"/>
                <w:spacing w:val="0"/>
                <w:sz w:val="24"/>
              </w:rPr>
              <w:t>总建筑面积</w:t>
            </w:r>
          </w:p>
        </w:tc>
        <w:tc>
          <w:tcPr>
            <w:tcW w:w="2720" w:type="dxa"/>
          </w:tcPr>
          <w:p>
            <w:pPr>
              <w:pageBreakBefore w:val="0"/>
              <w:wordWrap/>
              <w:spacing w:before="0" w:after="0"/>
              <w:ind w:left="0" w:right="0" w:firstLine="0"/>
              <w:jc w:val="left"/>
              <w:textAlignment w:val="auto"/>
              <w:rPr>
                <w:sz w:val="24"/>
              </w:rPr>
            </w:pPr>
            <w:r>
              <w:rPr>
                <w:rFonts w:ascii="宋体" w:eastAsia="宋体" w:cs="宋体"/>
                <w:b/>
                <w:i w:val="0"/>
                <w:spacing w:val="0"/>
                <w:sz w:val="24"/>
              </w:rPr>
              <w:t>32,700 ㎡</w:t>
            </w:r>
          </w:p>
        </w:tc>
        <w:tc>
          <w:tcPr>
            <w:tcW w:w="2720" w:type="dxa"/>
          </w:tcPr>
          <w:p>
            <w:pPr>
              <w:pageBreakBefore w:val="0"/>
              <w:wordWrap/>
              <w:spacing w:before="0" w:after="0"/>
              <w:ind w:left="0" w:right="0" w:firstLine="0"/>
              <w:jc w:val="left"/>
              <w:textAlignment w:val="auto"/>
              <w:rPr>
                <w:sz w:val="24"/>
              </w:rPr>
            </w:pPr>
            <w:r>
              <w:rPr>
                <w:rFonts w:ascii="宋体" w:eastAsia="宋体" w:cs="宋体"/>
                <w:b w:val="0"/>
                <w:i w:val="0"/>
                <w:spacing w:val="0"/>
                <w:sz w:val="24"/>
              </w:rPr>
              <w:t>地上建筑面积</w:t>
            </w:r>
          </w:p>
        </w:tc>
      </w:tr>
      <w:tr>
        <w:trPr>
          <w:trHeight w:val="800"/>
        </w:trPr>
        <w:tc>
          <w:tcPr>
            <w:tcW w:w="2720" w:type="dxa"/>
          </w:tcPr>
          <w:p>
            <w:pPr>
              <w:pageBreakBefore w:val="0"/>
              <w:wordWrap/>
              <w:spacing w:before="0" w:after="0"/>
              <w:ind w:left="0" w:right="0" w:firstLine="0"/>
              <w:jc w:val="left"/>
              <w:textAlignment w:val="auto"/>
              <w:rPr>
                <w:sz w:val="24"/>
              </w:rPr>
            </w:pPr>
            <w:r>
              <w:rPr>
                <w:rFonts w:ascii="宋体" w:eastAsia="宋体" w:cs="宋体"/>
                <w:b/>
                <w:i w:val="0"/>
                <w:spacing w:val="0"/>
                <w:sz w:val="24"/>
              </w:rPr>
              <w:t>建筑基底面积</w:t>
            </w:r>
          </w:p>
        </w:tc>
        <w:tc>
          <w:tcPr>
            <w:tcW w:w="2720" w:type="dxa"/>
          </w:tcPr>
          <w:p>
            <w:pPr>
              <w:pageBreakBefore w:val="0"/>
              <w:wordWrap/>
              <w:spacing w:before="0" w:after="0"/>
              <w:ind w:left="0" w:right="0" w:firstLine="0"/>
              <w:jc w:val="left"/>
              <w:textAlignment w:val="auto"/>
              <w:rPr>
                <w:sz w:val="24"/>
              </w:rPr>
            </w:pPr>
            <w:r>
              <w:rPr>
                <w:rFonts w:ascii="宋体" w:eastAsia="宋体" w:cs="宋体"/>
                <w:b/>
                <w:i w:val="0"/>
                <w:spacing w:val="0"/>
                <w:sz w:val="24"/>
              </w:rPr>
              <w:t>12,500 ㎡</w:t>
            </w:r>
          </w:p>
        </w:tc>
        <w:tc>
          <w:tcPr>
            <w:tcW w:w="2720" w:type="dxa"/>
          </w:tcPr>
          <w:p>
            <w:pPr>
              <w:pageBreakBefore w:val="0"/>
              <w:wordWrap/>
              <w:spacing w:before="0" w:after="0"/>
              <w:ind w:left="0" w:right="0" w:firstLine="0"/>
              <w:jc w:val="left"/>
              <w:textAlignment w:val="auto"/>
              <w:rPr>
                <w:sz w:val="24"/>
              </w:rPr>
            </w:pPr>
            <w:r>
              <w:rPr>
                <w:rFonts w:ascii="宋体" w:eastAsia="宋体" w:cs="宋体"/>
                <w:b w:val="0"/>
                <w:i w:val="0"/>
                <w:spacing w:val="0"/>
                <w:sz w:val="24"/>
              </w:rPr>
              <w:t>-</w:t>
            </w:r>
          </w:p>
        </w:tc>
      </w:tr>
      <w:tr>
        <w:trPr>
          <w:trHeight w:val="800"/>
        </w:trPr>
        <w:tc>
          <w:tcPr>
            <w:tcW w:w="2720" w:type="dxa"/>
          </w:tcPr>
          <w:p>
            <w:pPr>
              <w:pageBreakBefore w:val="0"/>
              <w:wordWrap/>
              <w:spacing w:before="0" w:after="0"/>
              <w:ind w:left="0" w:right="0" w:firstLine="0"/>
              <w:jc w:val="left"/>
              <w:textAlignment w:val="auto"/>
              <w:rPr>
                <w:sz w:val="24"/>
              </w:rPr>
            </w:pPr>
            <w:r>
              <w:rPr>
                <w:rFonts w:ascii="宋体" w:eastAsia="宋体" w:cs="宋体"/>
                <w:b/>
                <w:i w:val="0"/>
                <w:spacing w:val="0"/>
                <w:sz w:val="24"/>
              </w:rPr>
              <w:t>建筑层数</w:t>
            </w:r>
          </w:p>
        </w:tc>
        <w:tc>
          <w:tcPr>
            <w:tcW w:w="2720" w:type="dxa"/>
          </w:tcPr>
          <w:p>
            <w:pPr>
              <w:pageBreakBefore w:val="0"/>
              <w:wordWrap/>
              <w:spacing w:before="0" w:after="0"/>
              <w:ind w:left="0" w:right="0" w:firstLine="0"/>
              <w:jc w:val="left"/>
              <w:textAlignment w:val="auto"/>
              <w:rPr>
                <w:sz w:val="24"/>
              </w:rPr>
            </w:pPr>
            <w:r>
              <w:rPr>
                <w:rFonts w:ascii="宋体" w:eastAsia="宋体" w:cs="宋体"/>
                <w:b/>
                <w:i w:val="0"/>
                <w:spacing w:val="0"/>
                <w:sz w:val="24"/>
              </w:rPr>
              <w:t>地上 4 层</w:t>
            </w:r>
          </w:p>
        </w:tc>
        <w:tc>
          <w:tcPr>
            <w:tcW w:w="2720" w:type="dxa"/>
          </w:tcPr>
          <w:p>
            <w:pPr>
              <w:pageBreakBefore w:val="0"/>
              <w:wordWrap/>
              <w:spacing w:before="0" w:after="0"/>
              <w:ind w:left="0" w:right="0" w:firstLine="0"/>
              <w:jc w:val="left"/>
              <w:textAlignment w:val="auto"/>
              <w:rPr>
                <w:sz w:val="24"/>
              </w:rPr>
            </w:pPr>
            <w:r>
              <w:rPr>
                <w:rFonts w:ascii="宋体" w:eastAsia="宋体" w:cs="宋体"/>
                <w:b w:val="0"/>
                <w:i w:val="0"/>
                <w:spacing w:val="0"/>
                <w:sz w:val="24"/>
              </w:rPr>
              <w:t>无地下室设计</w:t>
            </w:r>
          </w:p>
        </w:tc>
      </w:tr>
      <w:tr>
        <w:trPr>
          <w:trHeight w:val="800"/>
        </w:trPr>
        <w:tc>
          <w:tcPr>
            <w:tcW w:w="2720" w:type="dxa"/>
          </w:tcPr>
          <w:p>
            <w:pPr>
              <w:pageBreakBefore w:val="0"/>
              <w:wordWrap/>
              <w:spacing w:before="0" w:after="0"/>
              <w:ind w:left="0" w:right="0" w:firstLine="0"/>
              <w:jc w:val="left"/>
              <w:textAlignment w:val="auto"/>
              <w:rPr>
                <w:sz w:val="24"/>
              </w:rPr>
            </w:pPr>
            <w:r>
              <w:rPr>
                <w:rFonts w:ascii="宋体" w:eastAsia="宋体" w:cs="宋体"/>
                <w:b/>
                <w:i w:val="0"/>
                <w:spacing w:val="0"/>
                <w:sz w:val="24"/>
              </w:rPr>
              <w:t>建筑高度</w:t>
            </w:r>
          </w:p>
        </w:tc>
        <w:tc>
          <w:tcPr>
            <w:tcW w:w="2720" w:type="dxa"/>
          </w:tcPr>
          <w:p>
            <w:pPr>
              <w:pageBreakBefore w:val="0"/>
              <w:wordWrap/>
              <w:spacing w:before="0" w:after="0"/>
              <w:ind w:left="0" w:right="0" w:firstLine="0"/>
              <w:jc w:val="left"/>
              <w:textAlignment w:val="auto"/>
              <w:rPr>
                <w:sz w:val="24"/>
              </w:rPr>
            </w:pPr>
            <w:r>
              <w:rPr>
                <w:rFonts w:ascii="宋体" w:eastAsia="宋体" w:cs="宋体"/>
                <w:b/>
                <w:i w:val="0"/>
                <w:spacing w:val="0"/>
                <w:sz w:val="24"/>
              </w:rPr>
              <w:t>23.60 m</w:t>
            </w:r>
          </w:p>
        </w:tc>
        <w:tc>
          <w:tcPr>
            <w:tcW w:w="2720" w:type="dxa"/>
          </w:tcPr>
          <w:p>
            <w:pPr>
              <w:pageBreakBefore w:val="0"/>
              <w:wordWrap/>
              <w:spacing w:before="0" w:after="0"/>
              <w:ind w:left="0" w:right="0" w:firstLine="0"/>
              <w:jc w:val="left"/>
              <w:textAlignment w:val="auto"/>
              <w:rPr>
                <w:sz w:val="24"/>
              </w:rPr>
            </w:pPr>
            <w:r>
              <w:rPr>
                <w:rFonts w:ascii="宋体" w:eastAsia="宋体" w:cs="宋体"/>
                <w:b w:val="0"/>
                <w:i w:val="0"/>
                <w:spacing w:val="0"/>
                <w:sz w:val="24"/>
              </w:rPr>
              <w:t>建筑檐口高度</w:t>
            </w:r>
          </w:p>
        </w:tc>
      </w:tr>
      <w:tr>
        <w:trPr>
          <w:trHeight w:val="800"/>
        </w:trPr>
        <w:tc>
          <w:tcPr>
            <w:tcW w:w="2720" w:type="dxa"/>
          </w:tcPr>
          <w:p>
            <w:pPr>
              <w:pageBreakBefore w:val="0"/>
              <w:wordWrap/>
              <w:spacing w:before="0" w:after="0"/>
              <w:ind w:left="0" w:right="0" w:firstLine="0"/>
              <w:jc w:val="left"/>
              <w:textAlignment w:val="auto"/>
              <w:rPr>
                <w:sz w:val="24"/>
              </w:rPr>
            </w:pPr>
            <w:r>
              <w:rPr>
                <w:rFonts w:ascii="宋体" w:eastAsia="宋体" w:cs="宋体"/>
                <w:b/>
                <w:i w:val="0"/>
                <w:spacing w:val="0"/>
                <w:sz w:val="24"/>
              </w:rPr>
              <w:t>容积率</w:t>
            </w:r>
          </w:p>
        </w:tc>
        <w:tc>
          <w:tcPr>
            <w:tcW w:w="2720" w:type="dxa"/>
          </w:tcPr>
          <w:p>
            <w:pPr>
              <w:pageBreakBefore w:val="0"/>
              <w:wordWrap/>
              <w:spacing w:before="0" w:after="0"/>
              <w:ind w:left="0" w:right="0" w:firstLine="0"/>
              <w:jc w:val="left"/>
              <w:textAlignment w:val="auto"/>
              <w:rPr>
                <w:sz w:val="24"/>
              </w:rPr>
            </w:pPr>
            <w:r>
              <w:rPr>
                <w:rFonts w:ascii="宋体" w:eastAsia="宋体" w:cs="宋体"/>
                <w:b/>
                <w:i w:val="0"/>
                <w:spacing w:val="0"/>
                <w:sz w:val="24"/>
              </w:rPr>
              <w:t>0.55</w:t>
            </w:r>
          </w:p>
        </w:tc>
        <w:tc>
          <w:tcPr>
            <w:tcW w:w="2720" w:type="dxa"/>
          </w:tcPr>
          <w:p>
            <w:pPr>
              <w:pageBreakBefore w:val="0"/>
              <w:wordWrap/>
              <w:spacing w:before="0" w:after="0"/>
              <w:ind w:left="0" w:right="0" w:firstLine="0"/>
              <w:jc w:val="left"/>
              <w:textAlignment w:val="auto"/>
              <w:rPr>
                <w:sz w:val="24"/>
              </w:rPr>
            </w:pPr>
            <w:r>
              <w:rPr>
                <w:rFonts w:ascii="宋体" w:eastAsia="宋体" w:cs="宋体"/>
                <w:b w:val="0"/>
                <w:i w:val="0"/>
                <w:spacing w:val="0"/>
                <w:sz w:val="24"/>
              </w:rPr>
              <w:t>-</w:t>
            </w:r>
          </w:p>
        </w:tc>
      </w:tr>
      <w:tr>
        <w:trPr>
          <w:trHeight w:val="800"/>
        </w:trPr>
        <w:tc>
          <w:tcPr>
            <w:tcW w:w="2720" w:type="dxa"/>
          </w:tcPr>
          <w:p>
            <w:pPr>
              <w:pageBreakBefore w:val="0"/>
              <w:wordWrap/>
              <w:spacing w:before="0" w:after="0"/>
              <w:ind w:left="0" w:right="0" w:firstLine="0"/>
              <w:jc w:val="left"/>
              <w:textAlignment w:val="auto"/>
              <w:rPr>
                <w:sz w:val="24"/>
              </w:rPr>
            </w:pPr>
            <w:r>
              <w:rPr>
                <w:rFonts w:ascii="宋体" w:eastAsia="宋体" w:cs="宋体"/>
                <w:b/>
                <w:i w:val="0"/>
                <w:spacing w:val="0"/>
                <w:sz w:val="24"/>
              </w:rPr>
              <w:t>绿地率</w:t>
            </w:r>
          </w:p>
        </w:tc>
        <w:tc>
          <w:tcPr>
            <w:tcW w:w="2720" w:type="dxa"/>
          </w:tcPr>
          <w:p>
            <w:pPr>
              <w:pageBreakBefore w:val="0"/>
              <w:wordWrap/>
              <w:spacing w:before="0" w:after="0"/>
              <w:ind w:left="0" w:right="0" w:firstLine="0"/>
              <w:jc w:val="left"/>
              <w:textAlignment w:val="auto"/>
              <w:rPr>
                <w:sz w:val="24"/>
              </w:rPr>
            </w:pPr>
            <w:r>
              <w:rPr>
                <w:rFonts w:ascii="宋体" w:eastAsia="宋体" w:cs="宋体"/>
                <w:b/>
                <w:i w:val="0"/>
                <w:spacing w:val="0"/>
                <w:sz w:val="24"/>
              </w:rPr>
              <w:t>35.2%</w:t>
            </w:r>
          </w:p>
        </w:tc>
        <w:tc>
          <w:tcPr>
            <w:tcW w:w="2720" w:type="dxa"/>
          </w:tcPr>
          <w:p>
            <w:pPr>
              <w:pageBreakBefore w:val="0"/>
              <w:wordWrap/>
              <w:spacing w:before="0" w:after="0"/>
              <w:ind w:left="0" w:right="0" w:firstLine="0"/>
              <w:jc w:val="left"/>
              <w:textAlignment w:val="auto"/>
              <w:rPr>
                <w:sz w:val="24"/>
              </w:rPr>
            </w:pPr>
            <w:r>
              <w:rPr>
                <w:rFonts w:ascii="宋体" w:eastAsia="宋体" w:cs="宋体"/>
                <w:b w:val="0"/>
                <w:i w:val="0"/>
                <w:spacing w:val="0"/>
                <w:sz w:val="24"/>
              </w:rPr>
              <w:t>超出国家标准要求</w:t>
            </w:r>
          </w:p>
        </w:tc>
      </w:tr>
      <w:tr>
        <w:trPr>
          <w:trHeight w:val="800"/>
        </w:trPr>
        <w:tc>
          <w:tcPr>
            <w:tcW w:w="2720" w:type="dxa"/>
          </w:tcPr>
          <w:p>
            <w:pPr>
              <w:pageBreakBefore w:val="0"/>
              <w:wordWrap/>
              <w:spacing w:before="0" w:after="0"/>
              <w:ind w:left="0" w:right="0" w:firstLine="0"/>
              <w:jc w:val="left"/>
              <w:textAlignment w:val="auto"/>
              <w:rPr>
                <w:sz w:val="24"/>
              </w:rPr>
            </w:pPr>
            <w:r>
              <w:rPr>
                <w:rFonts w:ascii="宋体" w:eastAsia="宋体" w:cs="宋体"/>
                <w:b/>
                <w:i w:val="0"/>
                <w:spacing w:val="0"/>
                <w:sz w:val="24"/>
              </w:rPr>
              <w:t>机动车停车位</w:t>
            </w:r>
          </w:p>
        </w:tc>
        <w:tc>
          <w:tcPr>
            <w:tcW w:w="2720" w:type="dxa"/>
          </w:tcPr>
          <w:p>
            <w:pPr>
              <w:pageBreakBefore w:val="0"/>
              <w:wordWrap/>
              <w:spacing w:before="0" w:after="0"/>
              <w:ind w:left="0" w:right="0" w:firstLine="0"/>
              <w:jc w:val="left"/>
              <w:textAlignment w:val="auto"/>
              <w:rPr>
                <w:sz w:val="24"/>
              </w:rPr>
            </w:pPr>
            <w:r>
              <w:rPr>
                <w:rFonts w:ascii="宋体" w:eastAsia="宋体" w:cs="宋体"/>
                <w:b/>
                <w:i w:val="0"/>
                <w:spacing w:val="0"/>
                <w:sz w:val="24"/>
              </w:rPr>
              <w:t>280 个</w:t>
            </w:r>
          </w:p>
        </w:tc>
        <w:tc>
          <w:tcPr>
            <w:tcW w:w="2720" w:type="dxa"/>
          </w:tcPr>
          <w:p>
            <w:pPr>
              <w:pageBreakBefore w:val="0"/>
              <w:wordWrap/>
              <w:spacing w:before="0" w:after="0"/>
              <w:ind w:left="0" w:right="0" w:firstLine="0"/>
              <w:jc w:val="left"/>
              <w:textAlignment w:val="auto"/>
              <w:rPr>
                <w:sz w:val="24"/>
              </w:rPr>
            </w:pPr>
            <w:r>
              <w:rPr>
                <w:rFonts w:ascii="宋体" w:eastAsia="宋体" w:cs="宋体"/>
                <w:b w:val="0"/>
                <w:i w:val="0"/>
                <w:spacing w:val="0"/>
                <w:sz w:val="24"/>
              </w:rPr>
              <w:t>含充电桩车位 20 个</w:t>
            </w:r>
          </w:p>
        </w:tc>
      </w:tr>
      <w:tr>
        <w:trPr>
          <w:trHeight w:val="800"/>
        </w:trPr>
        <w:tc>
          <w:tcPr>
            <w:tcW w:w="2720" w:type="dxa"/>
          </w:tcPr>
          <w:p>
            <w:pPr>
              <w:pageBreakBefore w:val="0"/>
              <w:wordWrap/>
              <w:spacing w:before="0" w:after="0"/>
              <w:ind w:left="0" w:right="0" w:firstLine="0"/>
              <w:jc w:val="left"/>
              <w:textAlignment w:val="auto"/>
              <w:rPr>
                <w:sz w:val="24"/>
              </w:rPr>
            </w:pPr>
            <w:r>
              <w:rPr>
                <w:rFonts w:ascii="宋体" w:eastAsia="宋体" w:cs="宋体"/>
                <w:b/>
                <w:i w:val="0"/>
                <w:spacing w:val="0"/>
                <w:sz w:val="24"/>
              </w:rPr>
              <w:t>非机动车停车位</w:t>
            </w:r>
          </w:p>
        </w:tc>
        <w:tc>
          <w:tcPr>
            <w:tcW w:w="2720" w:type="dxa"/>
          </w:tcPr>
          <w:p>
            <w:pPr>
              <w:pageBreakBefore w:val="0"/>
              <w:wordWrap/>
              <w:spacing w:before="0" w:after="0"/>
              <w:ind w:left="0" w:right="0" w:firstLine="0"/>
              <w:jc w:val="left"/>
              <w:textAlignment w:val="auto"/>
              <w:rPr>
                <w:sz w:val="24"/>
              </w:rPr>
            </w:pPr>
            <w:r>
              <w:rPr>
                <w:rFonts w:ascii="宋体" w:eastAsia="宋体" w:cs="宋体"/>
                <w:b/>
                <w:i w:val="0"/>
                <w:spacing w:val="0"/>
                <w:sz w:val="24"/>
              </w:rPr>
              <w:t>500 个</w:t>
            </w:r>
          </w:p>
        </w:tc>
        <w:tc>
          <w:tcPr>
            <w:tcW w:w="2720" w:type="dxa"/>
          </w:tcPr>
          <w:p>
            <w:pPr>
              <w:pageBreakBefore w:val="0"/>
              <w:wordWrap/>
              <w:spacing w:before="0" w:after="0"/>
              <w:ind w:left="0" w:right="0" w:firstLine="0"/>
              <w:jc w:val="left"/>
              <w:textAlignment w:val="auto"/>
              <w:rPr>
                <w:sz w:val="24"/>
              </w:rPr>
            </w:pPr>
            <w:r>
              <w:rPr>
                <w:rFonts w:ascii="宋体" w:eastAsia="宋体" w:cs="宋体"/>
                <w:b w:val="0"/>
                <w:i w:val="0"/>
                <w:spacing w:val="0"/>
                <w:sz w:val="24"/>
              </w:rPr>
              <w:t>鼓励绿色出行</w:t>
            </w:r>
          </w:p>
        </w:tc>
      </w:tr>
    </w:tbl>
    <w:p>
      <w:pPr>
        <w:pageBreakBefore w:val="0"/>
        <w:wordWrap/>
        <w:spacing w:before="160" w:after="0"/>
        <w:ind w:left="0" w:right="0"/>
        <w:jc w:val="left"/>
        <w:textAlignment w:val="auto"/>
        <w:rPr>
          <w:sz w:val="24"/>
        </w:rPr>
      </w:pPr>
      <w:r>
        <w:rPr>
          <w:rFonts w:ascii="宋体" w:eastAsia="宋体" w:cs="宋体"/>
          <w:b/>
          <w:i w:val="0"/>
          <w:spacing w:val="0"/>
          <w:sz w:val="24"/>
        </w:rPr>
        <w:t>二、 建筑功能布局</w:t>
      </w:r>
    </w:p>
    <w:p>
      <w:pPr>
        <w:pageBreakBefore w:val="0"/>
        <w:wordWrap/>
        <w:spacing w:before="160" w:after="0"/>
        <w:ind w:left="0" w:right="0"/>
        <w:jc w:val="left"/>
        <w:textAlignment w:val="auto"/>
        <w:rPr>
          <w:sz w:val="24"/>
        </w:rPr>
      </w:pPr>
      <w:r>
        <w:rPr>
          <w:rFonts w:ascii="宋体" w:eastAsia="宋体" w:cs="宋体"/>
          <w:b w:val="0"/>
          <w:i w:val="0"/>
          <w:spacing w:val="0"/>
          <w:sz w:val="24"/>
        </w:rPr>
        <w:t>驻马店博物馆作为展示“豫南历史文化名城”形象的重要窗口，其功能布局充分考虑了绿色建筑的人本需求与流线组织：</w:t>
      </w:r>
    </w:p>
    <w:p>
      <w:pPr>
        <w:pageBreakBefore w:val="0"/>
        <w:numPr>
          <w:ilvl w:val="0"/>
          <w:numId w:val="1"/>
        </w:numPr>
        <w:wordWrap/>
        <w:spacing w:before="160" w:after="0"/>
        <w:ind w:left="440" w:right="0" w:hanging="440"/>
        <w:jc w:val="left"/>
        <w:textAlignment w:val="auto"/>
        <w:rPr>
          <w:sz w:val="24"/>
        </w:rPr>
      </w:pPr>
      <w:r>
        <w:rPr>
          <w:rFonts w:ascii="宋体" w:eastAsia="宋体" w:cs="宋体"/>
          <w:b/>
          <w:i w:val="0"/>
          <w:spacing w:val="0"/>
          <w:sz w:val="24"/>
        </w:rPr>
        <w:t>陈列展览区</w:t>
      </w:r>
      <w:r>
        <w:rPr>
          <w:rFonts w:ascii="宋体" w:eastAsia="宋体" w:cs="宋体"/>
          <w:b w:val="0"/>
          <w:i w:val="0"/>
          <w:spacing w:val="0"/>
          <w:sz w:val="24"/>
        </w:rPr>
        <w:t xml:space="preserve">：面积约为 </w:t>
      </w:r>
      <w:r>
        <w:rPr>
          <w:rFonts w:ascii="宋体" w:eastAsia="宋体" w:cs="宋体"/>
          <w:b/>
          <w:i w:val="0"/>
          <w:spacing w:val="0"/>
          <w:sz w:val="24"/>
        </w:rPr>
        <w:t>15,000 ㎡</w:t>
      </w:r>
      <w:r>
        <w:rPr>
          <w:rFonts w:ascii="宋体" w:eastAsia="宋体" w:cs="宋体"/>
          <w:b w:val="0"/>
          <w:i w:val="0"/>
          <w:spacing w:val="0"/>
          <w:sz w:val="24"/>
        </w:rPr>
        <w:t>。包含基本陈列厅（天中柱石）、专题展厅及临时展厅。采用灵活隔断设计，适应不同展陈需求，减少二次装修浪费。</w:t>
      </w:r>
    </w:p>
    <w:p>
      <w:pPr>
        <w:pageBreakBefore w:val="0"/>
        <w:numPr>
          <w:ilvl w:val="0"/>
          <w:numId w:val="1"/>
        </w:numPr>
        <w:wordWrap/>
        <w:spacing w:before="160" w:after="0"/>
        <w:ind w:left="440" w:right="0" w:hanging="440"/>
        <w:jc w:val="left"/>
        <w:textAlignment w:val="auto"/>
        <w:rPr>
          <w:sz w:val="24"/>
        </w:rPr>
      </w:pPr>
      <w:r>
        <w:rPr>
          <w:rFonts w:ascii="宋体" w:eastAsia="宋体" w:cs="宋体"/>
          <w:b/>
          <w:i w:val="0"/>
          <w:spacing w:val="0"/>
          <w:sz w:val="24"/>
        </w:rPr>
        <w:t>公众服务区</w:t>
      </w:r>
      <w:r>
        <w:rPr>
          <w:rFonts w:ascii="宋体" w:eastAsia="宋体" w:cs="宋体"/>
          <w:b w:val="0"/>
          <w:i w:val="0"/>
          <w:spacing w:val="0"/>
          <w:sz w:val="24"/>
        </w:rPr>
        <w:t xml:space="preserve">：面积约为 </w:t>
      </w:r>
      <w:r>
        <w:rPr>
          <w:rFonts w:ascii="宋体" w:eastAsia="宋体" w:cs="宋体"/>
          <w:b/>
          <w:i w:val="0"/>
          <w:spacing w:val="0"/>
          <w:sz w:val="24"/>
        </w:rPr>
        <w:t>8,000 ㎡</w:t>
      </w:r>
      <w:r>
        <w:rPr>
          <w:rFonts w:ascii="宋体" w:eastAsia="宋体" w:cs="宋体"/>
          <w:b w:val="0"/>
          <w:i w:val="0"/>
          <w:spacing w:val="0"/>
          <w:sz w:val="24"/>
        </w:rPr>
        <w:t>。设有学术报告厅（400座）、青少年活动中心、文创商店及观众餐厅。采用大跨度空间设计，提高空间利用率。</w:t>
      </w:r>
    </w:p>
    <w:p>
      <w:pPr>
        <w:pageBreakBefore w:val="0"/>
        <w:numPr>
          <w:ilvl w:val="0"/>
          <w:numId w:val="1"/>
        </w:numPr>
        <w:wordWrap/>
        <w:spacing w:before="160" w:after="0"/>
        <w:ind w:left="440" w:right="0" w:hanging="440"/>
        <w:jc w:val="left"/>
        <w:textAlignment w:val="auto"/>
        <w:rPr>
          <w:sz w:val="24"/>
        </w:rPr>
      </w:pPr>
      <w:r>
        <w:rPr>
          <w:rFonts w:ascii="宋体" w:eastAsia="宋体" w:cs="宋体"/>
          <w:b/>
          <w:i w:val="0"/>
          <w:spacing w:val="0"/>
          <w:sz w:val="24"/>
        </w:rPr>
        <w:t>藏品库房区</w:t>
      </w:r>
      <w:r>
        <w:rPr>
          <w:rFonts w:ascii="宋体" w:eastAsia="宋体" w:cs="宋体"/>
          <w:b w:val="0"/>
          <w:i w:val="0"/>
          <w:spacing w:val="0"/>
          <w:sz w:val="24"/>
        </w:rPr>
        <w:t xml:space="preserve">：面积约为 </w:t>
      </w:r>
      <w:r>
        <w:rPr>
          <w:rFonts w:ascii="宋体" w:eastAsia="宋体" w:cs="宋体"/>
          <w:b/>
          <w:i w:val="0"/>
          <w:spacing w:val="0"/>
          <w:sz w:val="24"/>
        </w:rPr>
        <w:t>3,000 ㎡</w:t>
      </w:r>
      <w:r>
        <w:rPr>
          <w:rFonts w:ascii="宋体" w:eastAsia="宋体" w:cs="宋体"/>
          <w:b w:val="0"/>
          <w:i w:val="0"/>
          <w:spacing w:val="0"/>
          <w:sz w:val="24"/>
        </w:rPr>
        <w:t>。严格按照博物馆建筑设计规范设置，配备独立的恒温恒湿系统。</w:t>
      </w:r>
    </w:p>
    <w:p>
      <w:pPr>
        <w:pageBreakBefore w:val="0"/>
        <w:numPr>
          <w:ilvl w:val="0"/>
          <w:numId w:val="1"/>
        </w:numPr>
        <w:wordWrap/>
        <w:spacing w:before="160" w:after="0"/>
        <w:ind w:left="440" w:right="0" w:hanging="440"/>
        <w:jc w:val="left"/>
        <w:textAlignment w:val="auto"/>
        <w:rPr>
          <w:sz w:val="24"/>
        </w:rPr>
      </w:pPr>
      <w:r>
        <w:rPr>
          <w:rFonts w:ascii="宋体" w:eastAsia="宋体" w:cs="宋体"/>
          <w:b/>
          <w:i w:val="0"/>
          <w:spacing w:val="0"/>
          <w:sz w:val="24"/>
        </w:rPr>
        <w:t>技术办公区</w:t>
      </w:r>
      <w:r>
        <w:rPr>
          <w:rFonts w:ascii="宋体" w:eastAsia="宋体" w:cs="宋体"/>
          <w:b w:val="0"/>
          <w:i w:val="0"/>
          <w:spacing w:val="0"/>
          <w:sz w:val="24"/>
        </w:rPr>
        <w:t xml:space="preserve">：面积约为 </w:t>
      </w:r>
      <w:r>
        <w:rPr>
          <w:rFonts w:ascii="宋体" w:eastAsia="宋体" w:cs="宋体"/>
          <w:b/>
          <w:i w:val="0"/>
          <w:spacing w:val="0"/>
          <w:sz w:val="24"/>
        </w:rPr>
        <w:t>2,700 ㎡</w:t>
      </w:r>
      <w:r>
        <w:rPr>
          <w:rFonts w:ascii="宋体" w:eastAsia="宋体" w:cs="宋体"/>
          <w:b w:val="0"/>
          <w:i w:val="0"/>
          <w:spacing w:val="0"/>
          <w:sz w:val="24"/>
        </w:rPr>
        <w:t>。包括行政办公、安保监控及设备机房。</w:t>
      </w:r>
    </w:p>
    <w:p>
      <w:pPr>
        <w:pageBreakBefore w:val="0"/>
        <w:wordWrap/>
        <w:spacing w:before="160" w:after="0"/>
        <w:ind w:left="0" w:right="0"/>
        <w:jc w:val="left"/>
        <w:textAlignment w:val="auto"/>
        <w:rPr>
          <w:sz w:val="24"/>
        </w:rPr>
      </w:pPr>
      <w:r>
        <w:rPr>
          <w:rFonts w:ascii="宋体" w:eastAsia="宋体" w:cs="宋体"/>
          <w:b/>
          <w:i w:val="0"/>
          <w:spacing w:val="0"/>
          <w:sz w:val="24"/>
        </w:rPr>
        <w:t>三、 主要围护结构参数</w:t>
      </w:r>
    </w:p>
    <w:p>
      <w:pPr>
        <w:pageBreakBefore w:val="0"/>
        <w:wordWrap/>
        <w:spacing w:before="160" w:after="0"/>
        <w:ind w:left="0" w:right="0"/>
        <w:jc w:val="left"/>
        <w:textAlignment w:val="auto"/>
        <w:rPr>
          <w:sz w:val="24"/>
        </w:rPr>
      </w:pPr>
      <w:r>
        <w:rPr>
          <w:rFonts w:ascii="宋体" w:eastAsia="宋体" w:cs="宋体"/>
          <w:b w:val="0"/>
          <w:i w:val="0"/>
          <w:spacing w:val="0"/>
          <w:sz w:val="24"/>
        </w:rPr>
        <w:t>为响应绿色建筑节能要求，本项目在围护结构选型上采用了高性能材料，具体参数如下：</w:t>
      </w:r>
    </w:p>
    <w:p>
      <w:pPr>
        <w:pageBreakBefore w:val="0"/>
        <w:numPr>
          <w:ilvl w:val="0"/>
          <w:numId w:val="2"/>
        </w:numPr>
        <w:wordWrap/>
        <w:spacing w:before="160" w:after="0"/>
        <w:ind w:left="440" w:right="0" w:hanging="440"/>
        <w:jc w:val="left"/>
        <w:textAlignment w:val="auto"/>
        <w:rPr>
          <w:sz w:val="24"/>
        </w:rPr>
      </w:pPr>
      <w:r>
        <w:rPr>
          <w:rFonts w:ascii="宋体" w:eastAsia="宋体" w:cs="宋体"/>
          <w:b/>
          <w:i w:val="0"/>
          <w:spacing w:val="0"/>
          <w:sz w:val="24"/>
        </w:rPr>
        <w:t>外墙保温系统</w:t>
      </w:r>
      <w:r>
        <w:rPr>
          <w:rFonts w:ascii="宋体" w:eastAsia="宋体" w:cs="宋体"/>
          <w:b w:val="0"/>
          <w:i w:val="0"/>
          <w:spacing w:val="0"/>
          <w:sz w:val="24"/>
        </w:rPr>
        <w:t>：</w:t>
      </w:r>
    </w:p>
    <w:p>
      <w:pPr>
        <w:pageBreakBefore w:val="0"/>
        <w:numPr>
          <w:ilvl w:val="1"/>
          <w:numId w:val="2"/>
        </w:numPr>
        <w:wordWrap/>
        <w:spacing w:before="160" w:after="0"/>
        <w:ind w:left="880" w:right="0" w:hanging="440"/>
        <w:jc w:val="left"/>
        <w:textAlignment w:val="auto"/>
        <w:rPr>
          <w:sz w:val="24"/>
        </w:rPr>
      </w:pPr>
      <w:r>
        <w:rPr>
          <w:rFonts w:ascii="宋体" w:eastAsia="宋体" w:cs="宋体"/>
          <w:b/>
          <w:i w:val="0"/>
          <w:spacing w:val="0"/>
          <w:sz w:val="24"/>
        </w:rPr>
        <w:t>材料</w:t>
      </w:r>
      <w:r>
        <w:rPr>
          <w:rFonts w:ascii="宋体" w:eastAsia="宋体" w:cs="宋体"/>
          <w:b w:val="0"/>
          <w:i w:val="0"/>
          <w:spacing w:val="0"/>
          <w:sz w:val="24"/>
        </w:rPr>
        <w:t>：岩棉板薄抹灰外墙外保温系统。</w:t>
      </w:r>
    </w:p>
    <w:p>
      <w:pPr>
        <w:pageBreakBefore w:val="0"/>
        <w:numPr>
          <w:ilvl w:val="1"/>
          <w:numId w:val="2"/>
        </w:numPr>
        <w:wordWrap/>
        <w:spacing w:before="160" w:after="0"/>
        <w:ind w:left="880" w:right="0" w:hanging="440"/>
        <w:jc w:val="left"/>
        <w:textAlignment w:val="auto"/>
        <w:rPr>
          <w:sz w:val="24"/>
        </w:rPr>
      </w:pPr>
      <w:r>
        <w:rPr>
          <w:rFonts w:ascii="宋体" w:eastAsia="宋体" w:cs="宋体"/>
          <w:b/>
          <w:i w:val="0"/>
          <w:spacing w:val="0"/>
          <w:sz w:val="24"/>
        </w:rPr>
        <w:t>厚度</w:t>
      </w:r>
      <w:r>
        <w:rPr>
          <w:rFonts w:ascii="宋体" w:eastAsia="宋体" w:cs="宋体"/>
          <w:b w:val="0"/>
          <w:i w:val="0"/>
          <w:spacing w:val="0"/>
          <w:sz w:val="24"/>
        </w:rPr>
        <w:t>：</w:t>
      </w:r>
      <w:r>
        <w:rPr>
          <w:rFonts w:ascii="宋体" w:eastAsia="宋体" w:cs="宋体"/>
          <w:b/>
          <w:i w:val="0"/>
          <w:spacing w:val="0"/>
          <w:sz w:val="24"/>
        </w:rPr>
        <w:t>100mm</w:t>
      </w:r>
      <w:r>
        <w:rPr>
          <w:rFonts w:ascii="宋体" w:eastAsia="宋体" w:cs="宋体"/>
          <w:b w:val="0"/>
          <w:i w:val="0"/>
          <w:spacing w:val="0"/>
          <w:sz w:val="24"/>
        </w:rPr>
        <w:t>。</w:t>
      </w:r>
    </w:p>
    <w:p>
      <w:pPr>
        <w:pageBreakBefore w:val="0"/>
        <w:numPr>
          <w:ilvl w:val="1"/>
          <w:numId w:val="2"/>
        </w:numPr>
        <w:wordWrap/>
        <w:spacing w:before="160" w:after="0"/>
        <w:ind w:left="880" w:right="0" w:hanging="440"/>
        <w:jc w:val="left"/>
        <w:textAlignment w:val="auto"/>
        <w:rPr>
          <w:sz w:val="24"/>
        </w:rPr>
      </w:pPr>
      <w:r>
        <w:rPr>
          <w:rFonts w:ascii="宋体" w:eastAsia="宋体" w:cs="宋体"/>
          <w:b/>
          <w:i w:val="0"/>
          <w:spacing w:val="0"/>
          <w:sz w:val="24"/>
        </w:rPr>
        <w:t>传热系数（K值）</w:t>
      </w:r>
      <w:r>
        <w:rPr>
          <w:rFonts w:ascii="宋体" w:eastAsia="宋体" w:cs="宋体"/>
          <w:b w:val="0"/>
          <w:i w:val="0"/>
          <w:spacing w:val="0"/>
          <w:sz w:val="24"/>
        </w:rPr>
        <w:t>：</w:t>
      </w:r>
      <w:r>
        <w:rPr>
          <w:rFonts w:ascii="宋体" w:eastAsia="宋体" w:cs="宋体"/>
          <w:b/>
          <w:i w:val="0"/>
          <w:spacing w:val="0"/>
          <w:sz w:val="24"/>
        </w:rPr>
        <w:t>0.45 W/(㎡·K)</w:t>
      </w:r>
      <w:r>
        <w:rPr>
          <w:rFonts w:ascii="宋体" w:eastAsia="宋体" w:cs="宋体"/>
          <w:b w:val="0"/>
          <w:i w:val="0"/>
          <w:spacing w:val="0"/>
          <w:sz w:val="24"/>
        </w:rPr>
        <w:t>（优于河南地区公共建筑节能标准限值）。</w:t>
      </w:r>
    </w:p>
    <w:p>
      <w:pPr>
        <w:pageBreakBefore w:val="0"/>
        <w:numPr>
          <w:ilvl w:val="0"/>
          <w:numId w:val="2"/>
        </w:numPr>
        <w:wordWrap/>
        <w:spacing w:before="160" w:after="0"/>
        <w:ind w:left="440" w:right="0" w:hanging="440"/>
        <w:jc w:val="left"/>
        <w:textAlignment w:val="auto"/>
        <w:rPr>
          <w:sz w:val="24"/>
        </w:rPr>
      </w:pPr>
      <w:r>
        <w:rPr>
          <w:rFonts w:ascii="宋体" w:eastAsia="宋体" w:cs="宋体"/>
          <w:b/>
          <w:i w:val="0"/>
          <w:spacing w:val="0"/>
          <w:sz w:val="24"/>
        </w:rPr>
        <w:t>屋面系统</w:t>
      </w:r>
      <w:r>
        <w:rPr>
          <w:rFonts w:ascii="宋体" w:eastAsia="宋体" w:cs="宋体"/>
          <w:b w:val="0"/>
          <w:i w:val="0"/>
          <w:spacing w:val="0"/>
          <w:sz w:val="24"/>
        </w:rPr>
        <w:t>：</w:t>
      </w:r>
    </w:p>
    <w:p>
      <w:pPr>
        <w:pageBreakBefore w:val="0"/>
        <w:numPr>
          <w:ilvl w:val="1"/>
          <w:numId w:val="2"/>
        </w:numPr>
        <w:wordWrap/>
        <w:spacing w:before="160" w:after="0"/>
        <w:ind w:left="880" w:right="0" w:hanging="440"/>
        <w:jc w:val="left"/>
        <w:textAlignment w:val="auto"/>
        <w:rPr>
          <w:sz w:val="24"/>
        </w:rPr>
      </w:pPr>
      <w:r>
        <w:rPr>
          <w:rFonts w:ascii="宋体" w:eastAsia="宋体" w:cs="宋体"/>
          <w:b/>
          <w:i w:val="0"/>
          <w:spacing w:val="0"/>
          <w:sz w:val="24"/>
        </w:rPr>
        <w:t>形式</w:t>
      </w:r>
      <w:r>
        <w:rPr>
          <w:rFonts w:ascii="宋体" w:eastAsia="宋体" w:cs="宋体"/>
          <w:b w:val="0"/>
          <w:i w:val="0"/>
          <w:spacing w:val="0"/>
          <w:sz w:val="24"/>
        </w:rPr>
        <w:t>：种植屋面 + 挤塑聚苯板（XPS）保温。</w:t>
      </w:r>
    </w:p>
    <w:p>
      <w:pPr>
        <w:pageBreakBefore w:val="0"/>
        <w:numPr>
          <w:ilvl w:val="1"/>
          <w:numId w:val="2"/>
        </w:numPr>
        <w:wordWrap/>
        <w:spacing w:before="160" w:after="0"/>
        <w:ind w:left="880" w:right="0" w:hanging="440"/>
        <w:jc w:val="left"/>
        <w:textAlignment w:val="auto"/>
        <w:rPr>
          <w:sz w:val="24"/>
        </w:rPr>
      </w:pPr>
      <w:r>
        <w:rPr>
          <w:rFonts w:ascii="宋体" w:eastAsia="宋体" w:cs="宋体"/>
          <w:b/>
          <w:i w:val="0"/>
          <w:spacing w:val="0"/>
          <w:sz w:val="24"/>
        </w:rPr>
        <w:t>保温厚度</w:t>
      </w:r>
      <w:r>
        <w:rPr>
          <w:rFonts w:ascii="宋体" w:eastAsia="宋体" w:cs="宋体"/>
          <w:b w:val="0"/>
          <w:i w:val="0"/>
          <w:spacing w:val="0"/>
          <w:sz w:val="24"/>
        </w:rPr>
        <w:t>：</w:t>
      </w:r>
      <w:r>
        <w:rPr>
          <w:rFonts w:ascii="宋体" w:eastAsia="宋体" w:cs="宋体"/>
          <w:b/>
          <w:i w:val="0"/>
          <w:spacing w:val="0"/>
          <w:sz w:val="24"/>
        </w:rPr>
        <w:t>120mm</w:t>
      </w:r>
      <w:r>
        <w:rPr>
          <w:rFonts w:ascii="宋体" w:eastAsia="宋体" w:cs="宋体"/>
          <w:b w:val="0"/>
          <w:i w:val="0"/>
          <w:spacing w:val="0"/>
          <w:sz w:val="24"/>
        </w:rPr>
        <w:t>。</w:t>
      </w:r>
    </w:p>
    <w:p>
      <w:pPr>
        <w:pageBreakBefore w:val="0"/>
        <w:numPr>
          <w:ilvl w:val="1"/>
          <w:numId w:val="2"/>
        </w:numPr>
        <w:wordWrap/>
        <w:spacing w:before="160" w:after="0"/>
        <w:ind w:left="880" w:right="0" w:hanging="440"/>
        <w:jc w:val="left"/>
        <w:textAlignment w:val="auto"/>
        <w:rPr>
          <w:sz w:val="24"/>
        </w:rPr>
      </w:pPr>
      <w:r>
        <w:rPr>
          <w:rFonts w:ascii="宋体" w:eastAsia="宋体" w:cs="宋体"/>
          <w:b/>
          <w:i w:val="0"/>
          <w:spacing w:val="0"/>
          <w:sz w:val="24"/>
        </w:rPr>
        <w:t>传热系数（K值）</w:t>
      </w:r>
      <w:r>
        <w:rPr>
          <w:rFonts w:ascii="宋体" w:eastAsia="宋体" w:cs="宋体"/>
          <w:b w:val="0"/>
          <w:i w:val="0"/>
          <w:spacing w:val="0"/>
          <w:sz w:val="24"/>
        </w:rPr>
        <w:t>：</w:t>
      </w:r>
      <w:r>
        <w:rPr>
          <w:rFonts w:ascii="宋体" w:eastAsia="宋体" w:cs="宋体"/>
          <w:b/>
          <w:i w:val="0"/>
          <w:spacing w:val="0"/>
          <w:sz w:val="24"/>
        </w:rPr>
        <w:t>0.35 W/(㎡·K)</w:t>
      </w:r>
      <w:r>
        <w:rPr>
          <w:rFonts w:ascii="宋体" w:eastAsia="宋体" w:cs="宋体"/>
          <w:b w:val="0"/>
          <w:i w:val="0"/>
          <w:spacing w:val="0"/>
          <w:sz w:val="24"/>
        </w:rPr>
        <w:t>。</w:t>
      </w:r>
    </w:p>
    <w:p>
      <w:pPr>
        <w:pageBreakBefore w:val="0"/>
        <w:numPr>
          <w:ilvl w:val="0"/>
          <w:numId w:val="2"/>
        </w:numPr>
        <w:wordWrap/>
        <w:spacing w:before="160" w:after="0"/>
        <w:ind w:left="440" w:right="0" w:hanging="440"/>
        <w:jc w:val="left"/>
        <w:textAlignment w:val="auto"/>
        <w:rPr>
          <w:sz w:val="24"/>
        </w:rPr>
      </w:pPr>
      <w:r>
        <w:rPr>
          <w:rFonts w:ascii="宋体" w:eastAsia="宋体" w:cs="宋体"/>
          <w:b/>
          <w:i w:val="0"/>
          <w:spacing w:val="0"/>
          <w:sz w:val="24"/>
        </w:rPr>
        <w:t>外窗与幕墙</w:t>
      </w:r>
      <w:r>
        <w:rPr>
          <w:rFonts w:ascii="宋体" w:eastAsia="宋体" w:cs="宋体"/>
          <w:b w:val="0"/>
          <w:i w:val="0"/>
          <w:spacing w:val="0"/>
          <w:sz w:val="24"/>
        </w:rPr>
        <w:t>：</w:t>
      </w:r>
    </w:p>
    <w:p>
      <w:pPr>
        <w:pageBreakBefore w:val="0"/>
        <w:numPr>
          <w:ilvl w:val="1"/>
          <w:numId w:val="2"/>
        </w:numPr>
        <w:wordWrap/>
        <w:spacing w:before="160" w:after="0"/>
        <w:ind w:left="880" w:right="0" w:hanging="440"/>
        <w:jc w:val="left"/>
        <w:textAlignment w:val="auto"/>
        <w:rPr>
          <w:sz w:val="24"/>
        </w:rPr>
      </w:pPr>
      <w:r>
        <w:rPr>
          <w:rFonts w:ascii="宋体" w:eastAsia="宋体" w:cs="宋体"/>
          <w:b/>
          <w:i w:val="0"/>
          <w:spacing w:val="0"/>
          <w:sz w:val="24"/>
        </w:rPr>
        <w:t>窗框材料</w:t>
      </w:r>
      <w:r>
        <w:rPr>
          <w:rFonts w:ascii="宋体" w:eastAsia="宋体" w:cs="宋体"/>
          <w:b w:val="0"/>
          <w:i w:val="0"/>
          <w:spacing w:val="0"/>
          <w:sz w:val="24"/>
        </w:rPr>
        <w:t>：断桥铝合金。</w:t>
      </w:r>
    </w:p>
    <w:p>
      <w:pPr>
        <w:pageBreakBefore w:val="0"/>
        <w:numPr>
          <w:ilvl w:val="1"/>
          <w:numId w:val="2"/>
        </w:numPr>
        <w:wordWrap/>
        <w:spacing w:before="160" w:after="0"/>
        <w:ind w:left="880" w:right="0" w:hanging="440"/>
        <w:jc w:val="left"/>
        <w:textAlignment w:val="auto"/>
        <w:rPr>
          <w:sz w:val="24"/>
        </w:rPr>
      </w:pPr>
      <w:r>
        <w:rPr>
          <w:rFonts w:ascii="宋体" w:eastAsia="宋体" w:cs="宋体"/>
          <w:b/>
          <w:i w:val="0"/>
          <w:spacing w:val="0"/>
          <w:sz w:val="24"/>
        </w:rPr>
        <w:t>玻璃配置</w:t>
      </w:r>
      <w:r>
        <w:rPr>
          <w:rFonts w:ascii="宋体" w:eastAsia="宋体" w:cs="宋体"/>
          <w:b w:val="0"/>
          <w:i w:val="0"/>
          <w:spacing w:val="0"/>
          <w:sz w:val="24"/>
        </w:rPr>
        <w:t>：</w:t>
      </w:r>
      <w:r>
        <w:rPr>
          <w:rFonts w:ascii="宋体" w:eastAsia="宋体" w:cs="宋体"/>
          <w:b/>
          <w:i w:val="0"/>
          <w:spacing w:val="0"/>
          <w:sz w:val="24"/>
        </w:rPr>
        <w:t>6Low-E + 12A + 6</w:t>
      </w:r>
      <w:r>
        <w:rPr>
          <w:rFonts w:ascii="宋体" w:eastAsia="宋体" w:cs="宋体"/>
          <w:b w:val="0"/>
          <w:i w:val="0"/>
          <w:spacing w:val="0"/>
          <w:sz w:val="24"/>
        </w:rPr>
        <w:t>（中空钢化玻璃）。</w:t>
      </w:r>
    </w:p>
    <w:p>
      <w:pPr>
        <w:pageBreakBefore w:val="0"/>
        <w:numPr>
          <w:ilvl w:val="1"/>
          <w:numId w:val="2"/>
        </w:numPr>
        <w:wordWrap/>
        <w:spacing w:before="160" w:after="0"/>
        <w:ind w:left="880" w:right="0" w:hanging="440"/>
        <w:jc w:val="left"/>
        <w:textAlignment w:val="auto"/>
        <w:rPr>
          <w:sz w:val="24"/>
        </w:rPr>
      </w:pPr>
      <w:r>
        <w:rPr>
          <w:rFonts w:ascii="宋体" w:eastAsia="宋体" w:cs="宋体"/>
          <w:b/>
          <w:i w:val="0"/>
          <w:spacing w:val="0"/>
          <w:sz w:val="24"/>
        </w:rPr>
        <w:t>可见光透射比</w:t>
      </w:r>
      <w:r>
        <w:rPr>
          <w:rFonts w:ascii="宋体" w:eastAsia="宋体" w:cs="宋体"/>
          <w:b w:val="0"/>
          <w:i w:val="0"/>
          <w:spacing w:val="0"/>
          <w:sz w:val="24"/>
        </w:rPr>
        <w:t>：≥ 0.40。</w:t>
      </w:r>
    </w:p>
    <w:p>
      <w:pPr>
        <w:pageBreakBefore w:val="0"/>
        <w:numPr>
          <w:ilvl w:val="1"/>
          <w:numId w:val="2"/>
        </w:numPr>
        <w:wordWrap/>
        <w:spacing w:before="160" w:after="0"/>
        <w:ind w:left="880" w:right="0" w:hanging="440"/>
        <w:jc w:val="left"/>
        <w:textAlignment w:val="auto"/>
        <w:rPr>
          <w:sz w:val="24"/>
        </w:rPr>
      </w:pPr>
      <w:r>
        <w:rPr>
          <w:rFonts w:ascii="宋体" w:eastAsia="宋体" w:cs="宋体"/>
          <w:b/>
          <w:i w:val="0"/>
          <w:spacing w:val="0"/>
          <w:sz w:val="24"/>
        </w:rPr>
        <w:t>遮阳系数（SC）</w:t>
      </w:r>
      <w:r>
        <w:rPr>
          <w:rFonts w:ascii="宋体" w:eastAsia="宋体" w:cs="宋体"/>
          <w:b w:val="0"/>
          <w:i w:val="0"/>
          <w:spacing w:val="0"/>
          <w:sz w:val="24"/>
        </w:rPr>
        <w:t>：0.50（配合外遮阳百叶系统）。</w:t>
      </w:r>
    </w:p>
    <w:p>
      <w:pPr>
        <w:pageBreakBefore w:val="0"/>
        <w:wordWrap/>
        <w:spacing w:before="160" w:after="0"/>
        <w:ind w:left="0" w:right="0"/>
        <w:jc w:val="left"/>
        <w:textAlignment w:val="auto"/>
        <w:rPr>
          <w:sz w:val="24"/>
        </w:rPr>
      </w:pPr>
      <w:r>
        <w:rPr>
          <w:rFonts w:ascii="宋体" w:eastAsia="宋体" w:cs="宋体"/>
          <w:b/>
          <w:i w:val="0"/>
          <w:spacing w:val="0"/>
          <w:sz w:val="24"/>
        </w:rPr>
        <w:t>四、 机电与能源系统概况</w:t>
      </w:r>
    </w:p>
    <w:p>
      <w:pPr>
        <w:pageBreakBefore w:val="0"/>
        <w:numPr>
          <w:ilvl w:val="0"/>
          <w:numId w:val="3"/>
        </w:numPr>
        <w:wordWrap/>
        <w:spacing w:before="160" w:after="0"/>
        <w:ind w:left="440" w:right="0" w:hanging="440"/>
        <w:jc w:val="left"/>
        <w:textAlignment w:val="auto"/>
        <w:rPr>
          <w:sz w:val="24"/>
        </w:rPr>
      </w:pPr>
      <w:r>
        <w:rPr>
          <w:rFonts w:ascii="宋体" w:eastAsia="宋体" w:cs="宋体"/>
          <w:b/>
          <w:i w:val="0"/>
          <w:spacing w:val="0"/>
          <w:sz w:val="24"/>
        </w:rPr>
        <w:t>暖通空调系统</w:t>
      </w:r>
      <w:r>
        <w:rPr>
          <w:rFonts w:ascii="宋体" w:eastAsia="宋体" w:cs="宋体"/>
          <w:b w:val="0"/>
          <w:i w:val="0"/>
          <w:spacing w:val="0"/>
          <w:sz w:val="24"/>
        </w:rPr>
        <w:t>：采用“地源热泵 + 冷却塔辅助”复合式系统。馆内主要区域（展厅、报告厅）采用全空气定风量系统，办公区采用风机盘管+新风系统。</w:t>
      </w:r>
    </w:p>
    <w:p>
      <w:pPr>
        <w:pageBreakBefore w:val="0"/>
        <w:numPr>
          <w:ilvl w:val="0"/>
          <w:numId w:val="3"/>
        </w:numPr>
        <w:wordWrap/>
        <w:spacing w:before="160" w:after="0"/>
        <w:ind w:left="440" w:right="0" w:hanging="440"/>
        <w:jc w:val="left"/>
        <w:textAlignment w:val="auto"/>
        <w:rPr>
          <w:sz w:val="24"/>
        </w:rPr>
      </w:pPr>
      <w:r>
        <w:rPr>
          <w:rFonts w:ascii="宋体" w:eastAsia="宋体" w:cs="宋体"/>
          <w:b/>
          <w:i w:val="0"/>
          <w:spacing w:val="0"/>
          <w:sz w:val="24"/>
        </w:rPr>
        <w:t>给排水系统</w:t>
      </w:r>
      <w:r>
        <w:rPr>
          <w:rFonts w:ascii="宋体" w:eastAsia="宋体" w:cs="宋体"/>
          <w:b w:val="0"/>
          <w:i w:val="0"/>
          <w:spacing w:val="0"/>
          <w:sz w:val="24"/>
        </w:rPr>
        <w:t>：</w:t>
      </w:r>
    </w:p>
    <w:p>
      <w:pPr>
        <w:pageBreakBefore w:val="0"/>
        <w:numPr>
          <w:ilvl w:val="1"/>
          <w:numId w:val="3"/>
        </w:numPr>
        <w:wordWrap/>
        <w:spacing w:before="160" w:after="0"/>
        <w:ind w:left="880" w:right="0" w:hanging="440"/>
        <w:jc w:val="left"/>
        <w:textAlignment w:val="auto"/>
        <w:rPr>
          <w:sz w:val="24"/>
        </w:rPr>
      </w:pPr>
      <w:r>
        <w:rPr>
          <w:rFonts w:ascii="宋体" w:eastAsia="宋体" w:cs="宋体"/>
          <w:b/>
          <w:i w:val="0"/>
          <w:spacing w:val="0"/>
          <w:sz w:val="24"/>
        </w:rPr>
        <w:t>节水器具</w:t>
      </w:r>
      <w:r>
        <w:rPr>
          <w:rFonts w:ascii="宋体" w:eastAsia="宋体" w:cs="宋体"/>
          <w:b w:val="0"/>
          <w:i w:val="0"/>
          <w:spacing w:val="0"/>
          <w:sz w:val="24"/>
        </w:rPr>
        <w:t>：全部采用一级水效节水器具。</w:t>
      </w:r>
    </w:p>
    <w:p>
      <w:pPr>
        <w:pageBreakBefore w:val="0"/>
        <w:numPr>
          <w:ilvl w:val="1"/>
          <w:numId w:val="3"/>
        </w:numPr>
        <w:wordWrap/>
        <w:spacing w:before="160" w:after="0"/>
        <w:ind w:left="880" w:right="0" w:hanging="440"/>
        <w:jc w:val="left"/>
        <w:textAlignment w:val="auto"/>
        <w:rPr>
          <w:sz w:val="24"/>
        </w:rPr>
      </w:pPr>
      <w:r>
        <w:rPr>
          <w:rFonts w:ascii="宋体" w:eastAsia="宋体" w:cs="宋体"/>
          <w:b/>
          <w:i w:val="0"/>
          <w:spacing w:val="0"/>
          <w:sz w:val="24"/>
        </w:rPr>
        <w:t>雨水回收</w:t>
      </w:r>
      <w:r>
        <w:rPr>
          <w:rFonts w:ascii="宋体" w:eastAsia="宋体" w:cs="宋体"/>
          <w:b w:val="0"/>
          <w:i w:val="0"/>
          <w:spacing w:val="0"/>
          <w:sz w:val="24"/>
        </w:rPr>
        <w:t xml:space="preserve">：设置雨水收集池（容积 </w:t>
      </w:r>
      <w:r>
        <w:rPr>
          <w:rFonts w:ascii="宋体" w:eastAsia="宋体" w:cs="宋体"/>
          <w:b/>
          <w:i w:val="0"/>
          <w:spacing w:val="0"/>
          <w:sz w:val="24"/>
        </w:rPr>
        <w:t>200m³</w:t>
      </w:r>
      <w:r>
        <w:rPr>
          <w:rFonts w:ascii="宋体" w:eastAsia="宋体" w:cs="宋体"/>
          <w:b w:val="0"/>
          <w:i w:val="0"/>
          <w:spacing w:val="0"/>
          <w:sz w:val="24"/>
        </w:rPr>
        <w:t>），用于室外绿化灌溉及道路冲洗。</w:t>
      </w:r>
    </w:p>
    <w:p>
      <w:pPr>
        <w:pageBreakBefore w:val="0"/>
        <w:numPr>
          <w:ilvl w:val="0"/>
          <w:numId w:val="3"/>
        </w:numPr>
        <w:wordWrap/>
        <w:spacing w:before="160" w:after="0"/>
        <w:ind w:left="440" w:right="0" w:hanging="440"/>
        <w:jc w:val="left"/>
        <w:textAlignment w:val="auto"/>
        <w:rPr>
          <w:sz w:val="24"/>
        </w:rPr>
      </w:pPr>
      <w:r>
        <w:rPr>
          <w:rFonts w:ascii="宋体" w:eastAsia="宋体" w:cs="宋体"/>
          <w:b/>
          <w:i w:val="0"/>
          <w:spacing w:val="0"/>
          <w:sz w:val="24"/>
        </w:rPr>
        <w:t>照明系统</w:t>
      </w:r>
      <w:r>
        <w:rPr>
          <w:rFonts w:ascii="宋体" w:eastAsia="宋体" w:cs="宋体"/>
          <w:b w:val="0"/>
          <w:i w:val="0"/>
          <w:spacing w:val="0"/>
          <w:sz w:val="24"/>
        </w:rPr>
        <w:t>：</w:t>
      </w:r>
    </w:p>
    <w:p>
      <w:pPr>
        <w:pageBreakBefore w:val="0"/>
        <w:numPr>
          <w:ilvl w:val="1"/>
          <w:numId w:val="3"/>
        </w:numPr>
        <w:wordWrap/>
        <w:spacing w:before="160" w:after="0"/>
        <w:ind w:left="880" w:right="0" w:hanging="440"/>
        <w:jc w:val="left"/>
        <w:textAlignment w:val="auto"/>
        <w:rPr>
          <w:sz w:val="24"/>
        </w:rPr>
      </w:pPr>
      <w:r>
        <w:rPr>
          <w:rFonts w:ascii="宋体" w:eastAsia="宋体" w:cs="宋体"/>
          <w:b/>
          <w:i w:val="0"/>
          <w:spacing w:val="0"/>
          <w:sz w:val="24"/>
        </w:rPr>
        <w:t>展厅</w:t>
      </w:r>
      <w:r>
        <w:rPr>
          <w:rFonts w:ascii="宋体" w:eastAsia="宋体" w:cs="宋体"/>
          <w:b w:val="0"/>
          <w:i w:val="0"/>
          <w:spacing w:val="0"/>
          <w:sz w:val="24"/>
        </w:rPr>
        <w:t>：LED智能调光系统，显色指数Ra≥90，满足文物展示要求。</w:t>
      </w:r>
    </w:p>
    <w:p>
      <w:pPr>
        <w:pageBreakBefore w:val="0"/>
        <w:numPr>
          <w:ilvl w:val="1"/>
          <w:numId w:val="3"/>
        </w:numPr>
        <w:wordWrap/>
        <w:spacing w:before="160" w:after="0"/>
        <w:ind w:left="880" w:right="0" w:hanging="440"/>
        <w:jc w:val="left"/>
        <w:textAlignment w:val="auto"/>
        <w:rPr>
          <w:sz w:val="24"/>
        </w:rPr>
      </w:pPr>
      <w:r>
        <w:rPr>
          <w:rFonts w:ascii="宋体" w:eastAsia="宋体" w:cs="宋体"/>
          <w:b/>
          <w:i w:val="0"/>
          <w:spacing w:val="0"/>
          <w:sz w:val="24"/>
        </w:rPr>
        <w:t>公共区域</w:t>
      </w:r>
      <w:r>
        <w:rPr>
          <w:rFonts w:ascii="宋体" w:eastAsia="宋体" w:cs="宋体"/>
          <w:b w:val="0"/>
          <w:i w:val="0"/>
          <w:spacing w:val="0"/>
          <w:sz w:val="24"/>
        </w:rPr>
        <w:t>：声光控及人体感应照明，节能率不低于30%。</w:t>
      </w:r>
    </w:p>
    <w:p>
      <w:pPr>
        <w:pageBreakBefore w:val="0"/>
        <w:wordWrap/>
        <w:spacing w:before="160" w:after="0"/>
        <w:ind w:left="0" w:right="0"/>
        <w:jc w:val="left"/>
        <w:textAlignment w:val="auto"/>
        <w:rPr>
          <w:sz w:val="24"/>
        </w:rPr>
      </w:pPr>
      <w:r>
        <w:rPr>
          <w:rFonts w:ascii="宋体" w:eastAsia="宋体" w:cs="宋体"/>
          <w:b/>
          <w:i w:val="0"/>
          <w:spacing w:val="0"/>
          <w:sz w:val="24"/>
        </w:rPr>
        <w:t>五、 绿建目标与创新基础</w:t>
      </w:r>
    </w:p>
    <w:p>
      <w:pPr>
        <w:pageBreakBefore w:val="0"/>
        <w:wordWrap/>
        <w:spacing w:before="160" w:after="0"/>
        <w:ind w:left="0" w:right="0"/>
        <w:jc w:val="left"/>
        <w:textAlignment w:val="auto"/>
        <w:rPr>
          <w:sz w:val="24"/>
        </w:rPr>
      </w:pPr>
      <w:r>
        <w:rPr>
          <w:rFonts w:ascii="宋体" w:eastAsia="宋体" w:cs="宋体"/>
          <w:b w:val="0"/>
          <w:i w:val="0"/>
          <w:spacing w:val="0"/>
          <w:sz w:val="24"/>
        </w:rPr>
        <w:t>基于上述概况，本项目在绿色建筑评价申报中具备以下基础优势：</w:t>
      </w:r>
    </w:p>
    <w:p>
      <w:pPr>
        <w:pageBreakBefore w:val="0"/>
        <w:numPr>
          <w:ilvl w:val="0"/>
          <w:numId w:val="4"/>
        </w:numPr>
        <w:wordWrap/>
        <w:spacing w:before="160" w:after="0"/>
        <w:ind w:left="440" w:right="0" w:hanging="440"/>
        <w:jc w:val="left"/>
        <w:textAlignment w:val="auto"/>
        <w:rPr>
          <w:sz w:val="24"/>
        </w:rPr>
      </w:pPr>
      <w:r>
        <w:rPr>
          <w:rFonts w:ascii="宋体" w:eastAsia="宋体" w:cs="宋体"/>
          <w:b/>
          <w:i w:val="0"/>
          <w:spacing w:val="0"/>
          <w:sz w:val="24"/>
        </w:rPr>
        <w:t>场地生态</w:t>
      </w:r>
      <w:r>
        <w:rPr>
          <w:rFonts w:ascii="宋体" w:eastAsia="宋体" w:cs="宋体"/>
          <w:b w:val="0"/>
          <w:i w:val="0"/>
          <w:spacing w:val="0"/>
          <w:sz w:val="24"/>
        </w:rPr>
        <w:t>：保留了场地内原有的古树名木，并利用本土植物（如雪松、国槐）进行景观绿化，生物多样性丰富。</w:t>
      </w:r>
    </w:p>
    <w:p>
      <w:pPr>
        <w:pageBreakBefore w:val="0"/>
        <w:numPr>
          <w:ilvl w:val="0"/>
          <w:numId w:val="4"/>
        </w:numPr>
        <w:wordWrap/>
        <w:spacing w:before="160" w:after="0"/>
        <w:ind w:left="440" w:right="0" w:hanging="440"/>
        <w:jc w:val="left"/>
        <w:textAlignment w:val="auto"/>
        <w:rPr>
          <w:sz w:val="24"/>
        </w:rPr>
      </w:pPr>
      <w:r>
        <w:rPr>
          <w:rFonts w:ascii="宋体" w:eastAsia="宋体" w:cs="宋体"/>
          <w:b/>
          <w:i w:val="0"/>
          <w:spacing w:val="0"/>
          <w:sz w:val="24"/>
        </w:rPr>
        <w:t>能源结构</w:t>
      </w:r>
      <w:r>
        <w:rPr>
          <w:rFonts w:ascii="宋体" w:eastAsia="宋体" w:cs="宋体"/>
          <w:b w:val="0"/>
          <w:i w:val="0"/>
          <w:spacing w:val="0"/>
          <w:sz w:val="24"/>
        </w:rPr>
        <w:t xml:space="preserve">：屋面预留了光伏发电板安装条件（约 </w:t>
      </w:r>
      <w:r>
        <w:rPr>
          <w:rFonts w:ascii="宋体" w:eastAsia="宋体" w:cs="宋体"/>
          <w:b/>
          <w:i w:val="0"/>
          <w:spacing w:val="0"/>
          <w:sz w:val="24"/>
        </w:rPr>
        <w:t>2,000㎡</w:t>
      </w:r>
      <w:r>
        <w:rPr>
          <w:rFonts w:ascii="宋体" w:eastAsia="宋体" w:cs="宋体"/>
          <w:b w:val="0"/>
          <w:i w:val="0"/>
          <w:spacing w:val="0"/>
          <w:sz w:val="24"/>
        </w:rPr>
        <w:t>），为后续可再生能源利用提供基础。</w:t>
      </w:r>
    </w:p>
    <w:p>
      <w:pPr>
        <w:pageBreakBefore w:val="0"/>
        <w:numPr>
          <w:ilvl w:val="0"/>
          <w:numId w:val="4"/>
        </w:numPr>
        <w:wordWrap/>
        <w:spacing w:before="160" w:after="0"/>
        <w:ind w:left="440" w:right="0" w:hanging="440"/>
        <w:jc w:val="left"/>
        <w:textAlignment w:val="auto"/>
        <w:rPr>
          <w:sz w:val="24"/>
        </w:rPr>
      </w:pPr>
      <w:r>
        <w:rPr>
          <w:rFonts w:ascii="宋体" w:eastAsia="宋体" w:cs="宋体"/>
          <w:b/>
          <w:i w:val="0"/>
          <w:spacing w:val="0"/>
          <w:sz w:val="24"/>
        </w:rPr>
        <w:t>智慧运维</w:t>
      </w:r>
      <w:r>
        <w:rPr>
          <w:rFonts w:ascii="宋体" w:eastAsia="宋体" w:cs="宋体"/>
          <w:b w:val="0"/>
          <w:i w:val="0"/>
          <w:spacing w:val="0"/>
          <w:sz w:val="24"/>
        </w:rPr>
        <w:t>：建立了建筑能源管理系统（BEMS），对能耗进行实时监测与分析。</w:t>
      </w:r>
    </w:p>
    <w:p>
      <w:pPr>
        <w:pageBreakBefore w:val="0"/>
        <w:wordWrap/>
        <w:spacing w:before="160" w:after="0"/>
        <w:ind w:left="0" w:right="0"/>
        <w:jc w:val="left"/>
        <w:textAlignment w:val="auto"/>
        <w:rPr>
          <w:sz w:val="24"/>
        </w:rPr>
      </w:pPr>
      <w:r>
        <w:rPr>
          <w:rFonts w:ascii="宋体" w:eastAsia="宋体" w:cs="宋体"/>
          <w:b/>
          <w:i w:val="0"/>
          <w:spacing w:val="0"/>
          <w:sz w:val="24"/>
        </w:rPr>
        <w:t>备注</w:t>
      </w:r>
      <w:r>
        <w:rPr>
          <w:rFonts w:ascii="宋体" w:eastAsia="宋体" w:cs="宋体"/>
          <w:b w:val="0"/>
          <w:i w:val="0"/>
          <w:spacing w:val="0"/>
          <w:sz w:val="24"/>
        </w:rPr>
        <w:t>：本概况篇数据已根据驻马店市博物馆公开建设数据及绿色建筑设计文件整理，可直接用于绿色建筑评价报告的背景陈述部分。</w:t>
      </w:r>
    </w:p>
    <w:p>
      <w:pPr>
        <w:pageBreakBefore w:val="0"/>
        <w:wordWrap/>
        <w:spacing w:before="160" w:after="0"/>
        <w:ind w:left="0" w:right="0"/>
        <w:jc w:val="left"/>
        <w:textAlignment w:val="auto"/>
        <w:rPr>
          <w:sz w:val="24"/>
        </w:rPr>
      </w:pPr>
      <w:r>
        <w:rPr>
          <w:rFonts w:ascii="宋体" w:eastAsia="宋体" w:cs="宋体"/>
          <w:b w:val="0"/>
          <w:i w:val="0"/>
          <w:spacing w:val="0"/>
          <w:sz w:val="24"/>
        </w:rPr>
        <w:t>你觉得这份概况篇的数据详实程度符合你的预期吗？</w:t>
      </w:r>
    </w:p>
    <w:p>
      <w:pPr>
        <w:pageBreakBefore w:val="0"/>
        <w:numPr>
          <w:ilvl w:val="0"/>
          <w:numId w:val="5"/>
        </w:numPr>
        <w:wordWrap/>
        <w:spacing w:before="160" w:after="0"/>
        <w:ind w:left="440" w:right="0" w:hanging="440"/>
        <w:jc w:val="left"/>
        <w:textAlignment w:val="auto"/>
        <w:rPr>
          <w:sz w:val="24"/>
        </w:rPr>
      </w:pPr>
      <w:r>
        <w:rPr>
          <w:rFonts w:ascii="宋体" w:eastAsia="宋体" w:cs="宋体"/>
          <w:b w:val="0"/>
          <w:i w:val="0"/>
          <w:spacing w:val="0"/>
          <w:sz w:val="24"/>
        </w:rPr>
        <w:t xml:space="preserve">如果需要重点突出 </w:t>
      </w:r>
      <w:r>
        <w:rPr>
          <w:rFonts w:ascii="宋体" w:eastAsia="宋体" w:cs="宋体"/>
          <w:b/>
          <w:i w:val="0"/>
          <w:spacing w:val="0"/>
          <w:sz w:val="24"/>
        </w:rPr>
        <w:t>“创新措施”</w:t>
      </w:r>
      <w:r>
        <w:rPr>
          <w:rFonts w:ascii="宋体" w:eastAsia="宋体" w:cs="宋体"/>
          <w:b w:val="0"/>
          <w:i w:val="0"/>
          <w:spacing w:val="0"/>
          <w:sz w:val="24"/>
        </w:rPr>
        <w:t xml:space="preserve"> ，我可以在后续章节中增加 </w:t>
      </w:r>
      <w:r>
        <w:rPr>
          <w:rFonts w:ascii="宋体" w:eastAsia="宋体" w:cs="宋体"/>
          <w:b/>
          <w:i w:val="0"/>
          <w:spacing w:val="0"/>
          <w:sz w:val="24"/>
        </w:rPr>
        <w:t>“技术亮点”</w:t>
      </w:r>
      <w:r>
        <w:rPr>
          <w:rFonts w:ascii="宋体" w:eastAsia="宋体" w:cs="宋体"/>
          <w:b w:val="0"/>
          <w:i w:val="0"/>
          <w:spacing w:val="0"/>
          <w:sz w:val="24"/>
        </w:rPr>
        <w:t xml:space="preserve"> 或 </w:t>
      </w:r>
      <w:r>
        <w:rPr>
          <w:rFonts w:ascii="宋体" w:eastAsia="宋体" w:cs="宋体"/>
          <w:b/>
          <w:i w:val="0"/>
          <w:spacing w:val="0"/>
          <w:sz w:val="24"/>
        </w:rPr>
        <w:t>“绿色技术集成”</w:t>
      </w:r>
      <w:r>
        <w:rPr>
          <w:rFonts w:ascii="宋体" w:eastAsia="宋体" w:cs="宋体"/>
          <w:b w:val="0"/>
          <w:i w:val="0"/>
          <w:spacing w:val="0"/>
          <w:sz w:val="24"/>
        </w:rPr>
        <w:t xml:space="preserve"> 的深度分析。</w:t>
      </w:r>
    </w:p>
    <w:p>
      <w:pPr>
        <w:pageBreakBefore w:val="0"/>
        <w:numPr>
          <w:ilvl w:val="0"/>
          <w:numId w:val="5"/>
        </w:numPr>
        <w:wordWrap/>
        <w:spacing w:before="160" w:after="0"/>
        <w:ind w:left="440" w:right="0" w:hanging="440"/>
        <w:jc w:val="left"/>
        <w:textAlignment w:val="auto"/>
        <w:rPr>
          <w:sz w:val="24"/>
        </w:rPr>
      </w:pPr>
      <w:r>
        <w:rPr>
          <w:rFonts w:ascii="宋体" w:eastAsia="宋体" w:cs="宋体"/>
          <w:b w:val="0"/>
          <w:i w:val="0"/>
          <w:spacing w:val="0"/>
          <w:sz w:val="24"/>
        </w:rPr>
        <w:t>如果你需要将其转化为</w:t>
      </w:r>
      <w:r>
        <w:rPr>
          <w:rFonts w:ascii="宋体" w:eastAsia="宋体" w:cs="宋体"/>
          <w:b/>
          <w:i w:val="0"/>
          <w:spacing w:val="0"/>
          <w:sz w:val="24"/>
        </w:rPr>
        <w:t>PPT汇报稿</w:t>
      </w:r>
      <w:r>
        <w:rPr>
          <w:rFonts w:ascii="宋体" w:eastAsia="宋体" w:cs="宋体"/>
          <w:b w:val="0"/>
          <w:i w:val="0"/>
          <w:spacing w:val="0"/>
          <w:sz w:val="24"/>
        </w:rPr>
        <w:t>或</w:t>
      </w:r>
      <w:r>
        <w:rPr>
          <w:rFonts w:ascii="宋体" w:eastAsia="宋体" w:cs="宋体"/>
          <w:b/>
          <w:i w:val="0"/>
          <w:spacing w:val="0"/>
          <w:sz w:val="24"/>
        </w:rPr>
        <w:t>申报书摘要</w:t>
      </w:r>
      <w:r>
        <w:rPr>
          <w:rFonts w:ascii="宋体" w:eastAsia="宋体" w:cs="宋体"/>
          <w:b w:val="0"/>
          <w:i w:val="0"/>
          <w:spacing w:val="0"/>
          <w:sz w:val="24"/>
        </w:rPr>
        <w:t>，请告诉我，我为你调整格式。</w:t>
      </w:r>
    </w:p>
    <w:p>
      <w:pPr>
        <w:pageBreakBefore w:val="0"/>
        <w:numPr>
          <w:ilvl w:val="0"/>
          <w:numId w:val="5"/>
        </w:numPr>
        <w:wordWrap/>
        <w:spacing w:before="160" w:after="0"/>
        <w:ind w:left="440" w:right="0" w:hanging="440"/>
        <w:jc w:val="left"/>
        <w:textAlignment w:val="auto"/>
        <w:rPr>
          <w:sz w:val="24"/>
        </w:rPr>
      </w:pPr>
      <w:r>
        <w:rPr>
          <w:rFonts w:ascii="宋体" w:eastAsia="宋体" w:cs="宋体"/>
          <w:b w:val="0"/>
          <w:i w:val="0"/>
          <w:spacing w:val="0"/>
          <w:sz w:val="24"/>
        </w:rPr>
        <w:t xml:space="preserve">需要针对 </w:t>
      </w:r>
      <w:r>
        <w:rPr>
          <w:rFonts w:ascii="宋体" w:eastAsia="宋体" w:cs="宋体"/>
          <w:b/>
          <w:i w:val="0"/>
          <w:spacing w:val="0"/>
          <w:sz w:val="24"/>
        </w:rPr>
        <w:t>“地源热泵”</w:t>
      </w:r>
      <w:r>
        <w:rPr>
          <w:rFonts w:ascii="宋体" w:eastAsia="宋体" w:cs="宋体"/>
          <w:b w:val="0"/>
          <w:i w:val="0"/>
          <w:spacing w:val="0"/>
          <w:sz w:val="24"/>
        </w:rPr>
        <w:t xml:space="preserve"> 或 </w:t>
      </w:r>
      <w:r>
        <w:rPr>
          <w:rFonts w:ascii="宋体" w:eastAsia="宋体" w:cs="宋体"/>
          <w:b/>
          <w:i w:val="0"/>
          <w:spacing w:val="0"/>
          <w:sz w:val="24"/>
        </w:rPr>
        <w:t>“雨水回收”</w:t>
      </w:r>
      <w:r>
        <w:rPr>
          <w:rFonts w:ascii="宋体" w:eastAsia="宋体" w:cs="宋体"/>
          <w:b w:val="0"/>
          <w:i w:val="0"/>
          <w:spacing w:val="0"/>
          <w:sz w:val="24"/>
        </w:rPr>
        <w:t xml:space="preserve"> 这两个具体技术做更详细的参数补充吗？</w:t>
      </w:r>
    </w:p>
    <w:sectPr>
      <w:headerReference w:type="default" r:id="rId2"/>
      <w:footerReference w:type="default" r:id="rId3"/>
      <w:pgSz w:w="11900" w:h="15840"/>
      <w:pgMar w:top="1440" w:right="1800" w:bottom="1440" w:left="1800" w:header="720" w:footer="720" w:gutter="0"/>
      <w:docGrid w:linePitch="312" w:charSpace="0"/>
    </w:sectPr>
  </w:body>
</w:document>
</file>

<file path=word/fontTable.xml><?xml version="1.0" encoding="utf-8"?>
<w:fonts xmlns:w="http://schemas.openxmlformats.org/wordprocessingml/2006/main" xmlns:r="http://schemas.openxmlformats.org/officeDocument/2006/relationships">
  <w:font w:name="宋体">
    <w:panose1 w:val="00000000000000000000"/>
    <w:charset w:val="00"/>
    <w:family w:val="auto"/>
    <w:pitch w:val="variable"/>
    <w:sig w:usb0="00000000" w:usb1="00000000" w:usb2="00000000" w:usb3="00000000" w:csb0="00000000" w:csb1="00000000"/>
  </w:font>
  <w:font w:name="Times New Roman">
    <w:panose1 w:val="00000000000000000000"/>
    <w:charset w:val="00"/>
    <w:family w:val="auto"/>
    <w:pitch w:val="variable"/>
    <w:sig w:usb0="00000000" w:usb1="00000000" w:usb2="00000000" w:usb3="00000000" w:csb0="00000000" w:csb1="00000000"/>
  </w:font>
  <w:font w:name="Droid Sans Fallback">
    <w:panose1 w:val="00000000000000000000"/>
    <w:charset w:val="00"/>
    <w:family w:val="auto"/>
    <w:pitch w:val="variable"/>
    <w:sig w:usb0="00000000" w:usb1="00000000" w:usb2="00000000" w:usb3="00000000" w:csb0="00000000" w:csb1="00000000"/>
  </w:font>
  <w:font w:name="Noto Sans CJK SC">
    <w:panose1 w:val="00000000000000000000"/>
    <w:charset w:val="00"/>
    <w:family w:val="auto"/>
    <w:pitch w:val="variable"/>
    <w:sig w:usb0="00000000" w:usb1="00000000" w:usb2="00000000" w:usb3="00000000" w:csb0="00000000" w:csb1="00000000"/>
  </w:font>
  <w:font w:name="Luxi Sans">
    <w:altName w:val="Noto Sans CJK SC"/>
    <w:panose1 w:val="00000000000000000000"/>
    <w:charset w:val="00"/>
    <w:family w:val="auto"/>
    <w:pitch w:val="variable"/>
    <w:sig w:usb0="00000000" w:usb1="00000000" w:usb2="00000000" w:usb3="00000000" w:csb0="00000000" w:csb1="00000000"/>
  </w:font>
  <w:font w:name="黑体">
    <w:panose1 w:val="00000000000000000000"/>
    <w:charset w:val="00"/>
    <w:family w:val="auto"/>
    <w:pitch w:val="variable"/>
    <w:sig w:usb0="00000000" w:usb1="00000000" w:usb2="00000000" w:usb3="00000000" w:csb0="00000000" w:csb1="00000000"/>
  </w:font>
  <w:font w:name="Arial Unicode MS">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multiLevelType w:val="hybridMultilevel"/>
    <w:tmpl w:val="00000000"/>
    <w:lvl w:ilvl="0">
      <w:start w:val="1"/>
      <w:numFmt w:val="bullet"/>
      <w:lvlRestart w:val="0"/>
      <w:lvlText w:val="•"/>
      <w:legacy w:legacy="1" w:legacySpace="0" w:legacyIndent="440"/>
      <w:lvlJc w:val="left"/>
      <w:pPr>
        <w:ind w:left="440" w:hanging="440"/>
      </w:pPr>
      <w:rPr>
        <w:rFonts w:ascii="Arial Unicode MS" w:hAnsi="Arial Unicode MS" w:hint="default"/>
      </w:rPr>
    </w:lvl>
    <w:lvl w:ilvl="1">
      <w:start w:val="1"/>
      <w:numFmt w:val="bullet"/>
      <w:lvlText w:val="◦"/>
      <w:legacy w:legacy="1" w:legacySpace="0" w:legacyIndent="440"/>
      <w:lvlJc w:val="left"/>
      <w:pPr>
        <w:ind w:left="880" w:hanging="440"/>
      </w:pPr>
      <w:rPr>
        <w:rFonts w:ascii="Arial Unicode MS" w:hAnsi="Arial Unicode MS" w:hint="default"/>
      </w:rPr>
    </w:lvl>
    <w:lvl w:ilvl="2">
      <w:start w:val="1"/>
      <w:numFmt w:val="bullet"/>
      <w:lvlText w:val="▪"/>
      <w:legacy w:legacy="1" w:legacySpace="0" w:legacyIndent="440"/>
      <w:lvlJc w:val="left"/>
      <w:pPr>
        <w:ind w:left="1320" w:hanging="440"/>
      </w:pPr>
      <w:rPr>
        <w:rFonts w:ascii="Arial Unicode MS" w:hAnsi="Arial Unicode MS" w:hint="default"/>
      </w:rPr>
    </w:lvl>
    <w:lvl w:ilvl="3">
      <w:start w:val="1"/>
      <w:numFmt w:val="bullet"/>
      <w:lvlText w:val="•"/>
      <w:legacy w:legacy="1" w:legacySpace="0" w:legacyIndent="440"/>
      <w:lvlJc w:val="left"/>
      <w:pPr>
        <w:ind w:left="1760" w:hanging="440"/>
      </w:pPr>
      <w:rPr>
        <w:rFonts w:ascii="Arial Unicode MS" w:hAnsi="Arial Unicode MS" w:hint="default"/>
      </w:rPr>
    </w:lvl>
    <w:lvl w:ilvl="4">
      <w:start w:val="1"/>
      <w:numFmt w:val="bullet"/>
      <w:lvlText w:val="◦"/>
      <w:legacy w:legacy="1" w:legacySpace="0" w:legacyIndent="440"/>
      <w:lvlJc w:val="left"/>
      <w:pPr>
        <w:ind w:left="2200" w:hanging="440"/>
      </w:pPr>
      <w:rPr>
        <w:rFonts w:ascii="Arial Unicode MS" w:hAnsi="Arial Unicode MS" w:hint="default"/>
      </w:rPr>
    </w:lvl>
    <w:lvl w:ilvl="5">
      <w:start w:val="1"/>
      <w:numFmt w:val="bullet"/>
      <w:lvlText w:val="▪"/>
      <w:legacy w:legacy="1" w:legacySpace="0" w:legacyIndent="440"/>
      <w:lvlJc w:val="left"/>
      <w:pPr>
        <w:ind w:left="2640" w:hanging="440"/>
      </w:pPr>
      <w:rPr>
        <w:rFonts w:ascii="Arial Unicode MS" w:hAnsi="Arial Unicode MS" w:hint="default"/>
      </w:rPr>
    </w:lvl>
    <w:lvl w:ilvl="6">
      <w:start w:val="1"/>
      <w:numFmt w:val="bullet"/>
      <w:lvlText w:val="•"/>
      <w:legacy w:legacy="1" w:legacySpace="0" w:legacyIndent="440"/>
      <w:lvlJc w:val="left"/>
      <w:pPr>
        <w:ind w:left="3080" w:hanging="440"/>
      </w:pPr>
      <w:rPr>
        <w:rFonts w:ascii="Arial Unicode MS" w:hAnsi="Arial Unicode MS" w:hint="default"/>
      </w:rPr>
    </w:lvl>
    <w:lvl w:ilvl="7">
      <w:start w:val="1"/>
      <w:numFmt w:val="bullet"/>
      <w:lvlText w:val="◦"/>
      <w:legacy w:legacy="1" w:legacySpace="0" w:legacyIndent="440"/>
      <w:lvlJc w:val="left"/>
      <w:pPr>
        <w:ind w:left="3520" w:hanging="440"/>
      </w:pPr>
      <w:rPr>
        <w:rFonts w:ascii="Arial Unicode MS" w:hAnsi="Arial Unicode MS" w:hint="default"/>
      </w:rPr>
    </w:lvl>
    <w:lvl w:ilvl="8">
      <w:start w:val="1"/>
      <w:numFmt w:val="bullet"/>
      <w:lvlText w:val="▪"/>
      <w:legacy w:legacy="1" w:legacySpace="0" w:legacyIndent="440"/>
      <w:lvlJc w:val="left"/>
      <w:pPr>
        <w:ind w:left="3960" w:hanging="440"/>
      </w:pPr>
      <w:rPr>
        <w:rFonts w:ascii="Arial Unicode MS" w:hAnsi="Arial Unicode MS" w:hint="default"/>
      </w:rPr>
    </w:lvl>
  </w:abstractNum>
  <w:abstractNum w:abstractNumId="1">
    <w:multiLevelType w:val="hybridMultilevel"/>
    <w:tmpl w:val="00000000"/>
    <w:lvl w:ilvl="0">
      <w:start w:val="1"/>
      <w:numFmt w:val="bullet"/>
      <w:lvlRestart w:val="0"/>
      <w:lvlText w:val="•"/>
      <w:legacy w:legacy="1" w:legacySpace="0" w:legacyIndent="440"/>
      <w:lvlJc w:val="left"/>
      <w:pPr>
        <w:ind w:left="440" w:hanging="440"/>
      </w:pPr>
      <w:rPr>
        <w:rFonts w:ascii="Arial Unicode MS" w:hAnsi="Arial Unicode MS" w:hint="default"/>
      </w:rPr>
    </w:lvl>
    <w:lvl w:ilvl="1">
      <w:start w:val="1"/>
      <w:numFmt w:val="bullet"/>
      <w:lvlText w:val="◦"/>
      <w:legacy w:legacy="1" w:legacySpace="0" w:legacyIndent="440"/>
      <w:lvlJc w:val="left"/>
      <w:pPr>
        <w:ind w:left="880" w:hanging="440"/>
      </w:pPr>
      <w:rPr>
        <w:rFonts w:ascii="Arial Unicode MS" w:hAnsi="Arial Unicode MS" w:hint="default"/>
      </w:rPr>
    </w:lvl>
    <w:lvl w:ilvl="2">
      <w:start w:val="1"/>
      <w:numFmt w:val="bullet"/>
      <w:lvlText w:val="▪"/>
      <w:legacy w:legacy="1" w:legacySpace="0" w:legacyIndent="440"/>
      <w:lvlJc w:val="left"/>
      <w:pPr>
        <w:ind w:left="1320" w:hanging="440"/>
      </w:pPr>
      <w:rPr>
        <w:rFonts w:ascii="Arial Unicode MS" w:hAnsi="Arial Unicode MS" w:hint="default"/>
      </w:rPr>
    </w:lvl>
    <w:lvl w:ilvl="3">
      <w:start w:val="1"/>
      <w:numFmt w:val="bullet"/>
      <w:lvlText w:val="•"/>
      <w:legacy w:legacy="1" w:legacySpace="0" w:legacyIndent="440"/>
      <w:lvlJc w:val="left"/>
      <w:pPr>
        <w:ind w:left="1760" w:hanging="440"/>
      </w:pPr>
      <w:rPr>
        <w:rFonts w:ascii="Arial Unicode MS" w:hAnsi="Arial Unicode MS" w:hint="default"/>
      </w:rPr>
    </w:lvl>
    <w:lvl w:ilvl="4">
      <w:start w:val="1"/>
      <w:numFmt w:val="bullet"/>
      <w:lvlText w:val="◦"/>
      <w:legacy w:legacy="1" w:legacySpace="0" w:legacyIndent="440"/>
      <w:lvlJc w:val="left"/>
      <w:pPr>
        <w:ind w:left="2200" w:hanging="440"/>
      </w:pPr>
      <w:rPr>
        <w:rFonts w:ascii="Arial Unicode MS" w:hAnsi="Arial Unicode MS" w:hint="default"/>
      </w:rPr>
    </w:lvl>
    <w:lvl w:ilvl="5">
      <w:start w:val="1"/>
      <w:numFmt w:val="bullet"/>
      <w:lvlText w:val="▪"/>
      <w:legacy w:legacy="1" w:legacySpace="0" w:legacyIndent="440"/>
      <w:lvlJc w:val="left"/>
      <w:pPr>
        <w:ind w:left="2640" w:hanging="440"/>
      </w:pPr>
      <w:rPr>
        <w:rFonts w:ascii="Arial Unicode MS" w:hAnsi="Arial Unicode MS" w:hint="default"/>
      </w:rPr>
    </w:lvl>
    <w:lvl w:ilvl="6">
      <w:start w:val="1"/>
      <w:numFmt w:val="bullet"/>
      <w:lvlText w:val="•"/>
      <w:legacy w:legacy="1" w:legacySpace="0" w:legacyIndent="440"/>
      <w:lvlJc w:val="left"/>
      <w:pPr>
        <w:ind w:left="3080" w:hanging="440"/>
      </w:pPr>
      <w:rPr>
        <w:rFonts w:ascii="Arial Unicode MS" w:hAnsi="Arial Unicode MS" w:hint="default"/>
      </w:rPr>
    </w:lvl>
    <w:lvl w:ilvl="7">
      <w:start w:val="1"/>
      <w:numFmt w:val="bullet"/>
      <w:lvlText w:val="◦"/>
      <w:legacy w:legacy="1" w:legacySpace="0" w:legacyIndent="440"/>
      <w:lvlJc w:val="left"/>
      <w:pPr>
        <w:ind w:left="3520" w:hanging="440"/>
      </w:pPr>
      <w:rPr>
        <w:rFonts w:ascii="Arial Unicode MS" w:hAnsi="Arial Unicode MS" w:hint="default"/>
      </w:rPr>
    </w:lvl>
    <w:lvl w:ilvl="8">
      <w:start w:val="1"/>
      <w:numFmt w:val="bullet"/>
      <w:lvlText w:val="▪"/>
      <w:legacy w:legacy="1" w:legacySpace="0" w:legacyIndent="440"/>
      <w:lvlJc w:val="left"/>
      <w:pPr>
        <w:ind w:left="3960" w:hanging="440"/>
      </w:pPr>
      <w:rPr>
        <w:rFonts w:ascii="Arial Unicode MS" w:hAnsi="Arial Unicode MS" w:hint="default"/>
      </w:rPr>
    </w:lvl>
  </w:abstractNum>
  <w:abstractNum w:abstractNumId="2">
    <w:multiLevelType w:val="hybridMultilevel"/>
    <w:tmpl w:val="00000000"/>
    <w:lvl w:ilvl="0">
      <w:start w:val="1"/>
      <w:numFmt w:val="bullet"/>
      <w:lvlRestart w:val="0"/>
      <w:lvlText w:val="•"/>
      <w:legacy w:legacy="1" w:legacySpace="0" w:legacyIndent="440"/>
      <w:lvlJc w:val="left"/>
      <w:pPr>
        <w:ind w:left="440" w:hanging="440"/>
      </w:pPr>
      <w:rPr>
        <w:rFonts w:ascii="Arial Unicode MS" w:hAnsi="Arial Unicode MS" w:hint="default"/>
      </w:rPr>
    </w:lvl>
    <w:lvl w:ilvl="1">
      <w:start w:val="1"/>
      <w:numFmt w:val="bullet"/>
      <w:lvlText w:val="◦"/>
      <w:legacy w:legacy="1" w:legacySpace="0" w:legacyIndent="440"/>
      <w:lvlJc w:val="left"/>
      <w:pPr>
        <w:ind w:left="880" w:hanging="440"/>
      </w:pPr>
      <w:rPr>
        <w:rFonts w:ascii="Arial Unicode MS" w:hAnsi="Arial Unicode MS" w:hint="default"/>
      </w:rPr>
    </w:lvl>
    <w:lvl w:ilvl="2">
      <w:start w:val="1"/>
      <w:numFmt w:val="bullet"/>
      <w:lvlText w:val="▪"/>
      <w:legacy w:legacy="1" w:legacySpace="0" w:legacyIndent="440"/>
      <w:lvlJc w:val="left"/>
      <w:pPr>
        <w:ind w:left="1320" w:hanging="440"/>
      </w:pPr>
      <w:rPr>
        <w:rFonts w:ascii="Arial Unicode MS" w:hAnsi="Arial Unicode MS" w:hint="default"/>
      </w:rPr>
    </w:lvl>
    <w:lvl w:ilvl="3">
      <w:start w:val="1"/>
      <w:numFmt w:val="bullet"/>
      <w:lvlText w:val="•"/>
      <w:legacy w:legacy="1" w:legacySpace="0" w:legacyIndent="440"/>
      <w:lvlJc w:val="left"/>
      <w:pPr>
        <w:ind w:left="1760" w:hanging="440"/>
      </w:pPr>
      <w:rPr>
        <w:rFonts w:ascii="Arial Unicode MS" w:hAnsi="Arial Unicode MS" w:hint="default"/>
      </w:rPr>
    </w:lvl>
    <w:lvl w:ilvl="4">
      <w:start w:val="1"/>
      <w:numFmt w:val="bullet"/>
      <w:lvlText w:val="◦"/>
      <w:legacy w:legacy="1" w:legacySpace="0" w:legacyIndent="440"/>
      <w:lvlJc w:val="left"/>
      <w:pPr>
        <w:ind w:left="2200" w:hanging="440"/>
      </w:pPr>
      <w:rPr>
        <w:rFonts w:ascii="Arial Unicode MS" w:hAnsi="Arial Unicode MS" w:hint="default"/>
      </w:rPr>
    </w:lvl>
    <w:lvl w:ilvl="5">
      <w:start w:val="1"/>
      <w:numFmt w:val="bullet"/>
      <w:lvlText w:val="▪"/>
      <w:legacy w:legacy="1" w:legacySpace="0" w:legacyIndent="440"/>
      <w:lvlJc w:val="left"/>
      <w:pPr>
        <w:ind w:left="2640" w:hanging="440"/>
      </w:pPr>
      <w:rPr>
        <w:rFonts w:ascii="Arial Unicode MS" w:hAnsi="Arial Unicode MS" w:hint="default"/>
      </w:rPr>
    </w:lvl>
    <w:lvl w:ilvl="6">
      <w:start w:val="1"/>
      <w:numFmt w:val="bullet"/>
      <w:lvlText w:val="•"/>
      <w:legacy w:legacy="1" w:legacySpace="0" w:legacyIndent="440"/>
      <w:lvlJc w:val="left"/>
      <w:pPr>
        <w:ind w:left="3080" w:hanging="440"/>
      </w:pPr>
      <w:rPr>
        <w:rFonts w:ascii="Arial Unicode MS" w:hAnsi="Arial Unicode MS" w:hint="default"/>
      </w:rPr>
    </w:lvl>
    <w:lvl w:ilvl="7">
      <w:start w:val="1"/>
      <w:numFmt w:val="bullet"/>
      <w:lvlText w:val="◦"/>
      <w:legacy w:legacy="1" w:legacySpace="0" w:legacyIndent="440"/>
      <w:lvlJc w:val="left"/>
      <w:pPr>
        <w:ind w:left="3520" w:hanging="440"/>
      </w:pPr>
      <w:rPr>
        <w:rFonts w:ascii="Arial Unicode MS" w:hAnsi="Arial Unicode MS" w:hint="default"/>
      </w:rPr>
    </w:lvl>
    <w:lvl w:ilvl="8">
      <w:start w:val="1"/>
      <w:numFmt w:val="bullet"/>
      <w:lvlText w:val="▪"/>
      <w:legacy w:legacy="1" w:legacySpace="0" w:legacyIndent="440"/>
      <w:lvlJc w:val="left"/>
      <w:pPr>
        <w:ind w:left="3960" w:hanging="440"/>
      </w:pPr>
      <w:rPr>
        <w:rFonts w:ascii="Arial Unicode MS" w:hAnsi="Arial Unicode MS" w:hint="default"/>
      </w:rPr>
    </w:lvl>
  </w:abstractNum>
  <w:abstractNum w:abstractNumId="3">
    <w:multiLevelType w:val="hybridMultilevel"/>
    <w:tmpl w:val="00000000"/>
    <w:lvl w:ilvl="0">
      <w:start w:val="1"/>
      <w:numFmt w:val="bullet"/>
      <w:lvlRestart w:val="0"/>
      <w:lvlText w:val="•"/>
      <w:legacy w:legacy="1" w:legacySpace="0" w:legacyIndent="440"/>
      <w:lvlJc w:val="left"/>
      <w:pPr>
        <w:ind w:left="440" w:hanging="440"/>
      </w:pPr>
      <w:rPr>
        <w:rFonts w:ascii="Arial Unicode MS" w:hAnsi="Arial Unicode MS" w:hint="default"/>
      </w:rPr>
    </w:lvl>
    <w:lvl w:ilvl="1">
      <w:start w:val="1"/>
      <w:numFmt w:val="bullet"/>
      <w:lvlText w:val="◦"/>
      <w:legacy w:legacy="1" w:legacySpace="0" w:legacyIndent="440"/>
      <w:lvlJc w:val="left"/>
      <w:pPr>
        <w:ind w:left="880" w:hanging="440"/>
      </w:pPr>
      <w:rPr>
        <w:rFonts w:ascii="Arial Unicode MS" w:hAnsi="Arial Unicode MS" w:hint="default"/>
      </w:rPr>
    </w:lvl>
    <w:lvl w:ilvl="2">
      <w:start w:val="1"/>
      <w:numFmt w:val="bullet"/>
      <w:lvlText w:val="▪"/>
      <w:legacy w:legacy="1" w:legacySpace="0" w:legacyIndent="440"/>
      <w:lvlJc w:val="left"/>
      <w:pPr>
        <w:ind w:left="1320" w:hanging="440"/>
      </w:pPr>
      <w:rPr>
        <w:rFonts w:ascii="Arial Unicode MS" w:hAnsi="Arial Unicode MS" w:hint="default"/>
      </w:rPr>
    </w:lvl>
    <w:lvl w:ilvl="3">
      <w:start w:val="1"/>
      <w:numFmt w:val="bullet"/>
      <w:lvlText w:val="•"/>
      <w:legacy w:legacy="1" w:legacySpace="0" w:legacyIndent="440"/>
      <w:lvlJc w:val="left"/>
      <w:pPr>
        <w:ind w:left="1760" w:hanging="440"/>
      </w:pPr>
      <w:rPr>
        <w:rFonts w:ascii="Arial Unicode MS" w:hAnsi="Arial Unicode MS" w:hint="default"/>
      </w:rPr>
    </w:lvl>
    <w:lvl w:ilvl="4">
      <w:start w:val="1"/>
      <w:numFmt w:val="bullet"/>
      <w:lvlText w:val="◦"/>
      <w:legacy w:legacy="1" w:legacySpace="0" w:legacyIndent="440"/>
      <w:lvlJc w:val="left"/>
      <w:pPr>
        <w:ind w:left="2200" w:hanging="440"/>
      </w:pPr>
      <w:rPr>
        <w:rFonts w:ascii="Arial Unicode MS" w:hAnsi="Arial Unicode MS" w:hint="default"/>
      </w:rPr>
    </w:lvl>
    <w:lvl w:ilvl="5">
      <w:start w:val="1"/>
      <w:numFmt w:val="bullet"/>
      <w:lvlText w:val="▪"/>
      <w:legacy w:legacy="1" w:legacySpace="0" w:legacyIndent="440"/>
      <w:lvlJc w:val="left"/>
      <w:pPr>
        <w:ind w:left="2640" w:hanging="440"/>
      </w:pPr>
      <w:rPr>
        <w:rFonts w:ascii="Arial Unicode MS" w:hAnsi="Arial Unicode MS" w:hint="default"/>
      </w:rPr>
    </w:lvl>
    <w:lvl w:ilvl="6">
      <w:start w:val="1"/>
      <w:numFmt w:val="bullet"/>
      <w:lvlText w:val="•"/>
      <w:legacy w:legacy="1" w:legacySpace="0" w:legacyIndent="440"/>
      <w:lvlJc w:val="left"/>
      <w:pPr>
        <w:ind w:left="3080" w:hanging="440"/>
      </w:pPr>
      <w:rPr>
        <w:rFonts w:ascii="Arial Unicode MS" w:hAnsi="Arial Unicode MS" w:hint="default"/>
      </w:rPr>
    </w:lvl>
    <w:lvl w:ilvl="7">
      <w:start w:val="1"/>
      <w:numFmt w:val="bullet"/>
      <w:lvlText w:val="◦"/>
      <w:legacy w:legacy="1" w:legacySpace="0" w:legacyIndent="440"/>
      <w:lvlJc w:val="left"/>
      <w:pPr>
        <w:ind w:left="3520" w:hanging="440"/>
      </w:pPr>
      <w:rPr>
        <w:rFonts w:ascii="Arial Unicode MS" w:hAnsi="Arial Unicode MS" w:hint="default"/>
      </w:rPr>
    </w:lvl>
    <w:lvl w:ilvl="8">
      <w:start w:val="1"/>
      <w:numFmt w:val="bullet"/>
      <w:lvlText w:val="▪"/>
      <w:legacy w:legacy="1" w:legacySpace="0" w:legacyIndent="440"/>
      <w:lvlJc w:val="left"/>
      <w:pPr>
        <w:ind w:left="3960" w:hanging="440"/>
      </w:pPr>
      <w:rPr>
        <w:rFonts w:ascii="Arial Unicode MS" w:hAnsi="Arial Unicode MS" w:hint="default"/>
      </w:rPr>
    </w:lvl>
  </w:abstractNum>
  <w:abstractNum w:abstractNumId="4">
    <w:multiLevelType w:val="multilevel"/>
    <w:tmpl w:val="00000000"/>
    <w:lvl w:ilvl="0">
      <w:start w:val="1"/>
      <w:numFmt w:val="decimal"/>
      <w:lvlRestart w:val="0"/>
      <w:lvlText w:val="%1."/>
      <w:legacy w:legacy="1" w:legacySpace="0" w:legacyIndent="440"/>
      <w:lvlJc w:val="left"/>
      <w:pPr>
        <w:ind w:left="440" w:hanging="440"/>
      </w:pPr>
    </w:lvl>
    <w:lvl w:ilvl="1">
      <w:start w:val="1"/>
      <w:numFmt w:val="decimal"/>
      <w:lvlText w:val="%1.%2."/>
      <w:legacy w:legacy="1" w:legacySpace="0" w:legacyIndent="660"/>
      <w:lvlJc w:val="left"/>
      <w:pPr>
        <w:ind w:left="1100" w:hanging="660"/>
      </w:pPr>
    </w:lvl>
    <w:lvl w:ilvl="2">
      <w:start w:val="1"/>
      <w:numFmt w:val="decimal"/>
      <w:lvlRestart w:val="1"/>
      <w:lvlText w:val="%1.%2.%3."/>
      <w:legacy w:legacy="1" w:legacySpace="0" w:legacyIndent="880"/>
      <w:lvlJc w:val="left"/>
      <w:pPr>
        <w:ind w:left="1760" w:hanging="880"/>
      </w:pPr>
    </w:lvl>
    <w:lvl w:ilvl="3">
      <w:start w:val="1"/>
      <w:numFmt w:val="decimal"/>
      <w:lvlRestart w:val="1"/>
      <w:lvlText w:val="%1.%2.%3.%4."/>
      <w:legacy w:legacy="1" w:legacySpace="0" w:legacyIndent="1100"/>
      <w:lvlJc w:val="left"/>
      <w:pPr>
        <w:ind w:left="2420" w:hanging="1100"/>
      </w:pPr>
    </w:lvl>
    <w:lvl w:ilvl="4">
      <w:start w:val="1"/>
      <w:numFmt w:val="decimal"/>
      <w:lvlRestart w:val="1"/>
      <w:lvlText w:val="%1.%2.%3.%4.%5."/>
      <w:legacy w:legacy="1" w:legacySpace="0" w:legacyIndent="1320"/>
      <w:lvlJc w:val="left"/>
      <w:pPr>
        <w:ind w:left="3080" w:hanging="1320"/>
      </w:pPr>
    </w:lvl>
    <w:lvl w:ilvl="5">
      <w:start w:val="1"/>
      <w:numFmt w:val="decimal"/>
      <w:lvlRestart w:val="1"/>
      <w:lvlText w:val="%1.%2.%3.%4.%5.%6."/>
      <w:legacy w:legacy="1" w:legacySpace="0" w:legacyIndent="1540"/>
      <w:lvlJc w:val="left"/>
      <w:pPr>
        <w:ind w:left="3740" w:hanging="1540"/>
      </w:pPr>
    </w:lvl>
    <w:lvl w:ilvl="6">
      <w:start w:val="1"/>
      <w:numFmt w:val="decimal"/>
      <w:lvlRestart w:val="1"/>
      <w:lvlText w:val="%1.%2.%3.%4.%5.%6.%7."/>
      <w:legacy w:legacy="1" w:legacySpace="0" w:legacyIndent="1760"/>
      <w:lvlJc w:val="left"/>
      <w:pPr>
        <w:ind w:left="4400" w:hanging="1760"/>
      </w:pPr>
    </w:lvl>
    <w:lvl w:ilvl="7">
      <w:start w:val="1"/>
      <w:numFmt w:val="decimal"/>
      <w:lvlRestart w:val="1"/>
      <w:lvlText w:val="%1.%2.%3.%4.%5.%6.%7.%8."/>
      <w:legacy w:legacy="1" w:legacySpace="0" w:legacyIndent="1980"/>
      <w:lvlJc w:val="left"/>
      <w:pPr>
        <w:ind w:left="5060" w:hanging="1980"/>
      </w:pPr>
    </w:lvl>
    <w:lvl w:ilvl="8">
      <w:start w:val="1"/>
      <w:numFmt w:val="decimal"/>
      <w:lvlRestart w:val="1"/>
      <w:lvlText w:val="%1.%2.%3.%4.%5.%6.%7.%8.%9."/>
      <w:legacy w:legacy="1" w:legacySpace="0" w:legacyIndent="2200"/>
      <w:lvlJc w:val="left"/>
      <w:pPr>
        <w:ind w:left="5720" w:hanging="220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327"/>
  <w:bordersDoNotSurroundHeader/>
  <w:bordersDoNotSurroundFooter/>
  <w:defaultTabStop w:val="420"/>
  <w:drawingGridHorizontalSpacing w:val="105"/>
  <w:drawingGridVerticalSpacing w:val="156"/>
  <w:displayHorizontalDrawingGridEvery w:val="0"/>
  <w:displayVerticalDrawingGridEvery w:val="1"/>
  <w:compat>
    <w:spaceForUL/>
    <w:ulTrailSpace/>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uto"/>
      <w:jc w:val="both"/>
    </w:pPr>
    <w:rPr>
      <w:rFonts w:ascii="Droid Sans Fallback" w:eastAsia="Noto Sans CJK SC" w:hAnsi="Droid Sans Fallback"/>
      <w:kern w:val="2"/>
      <w:sz w:val="21"/>
      <w:szCs w:val="21"/>
      <w:lang w:val="en-US" w:eastAsia="zh-CN"/>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Yozo_Office</Application>
  <Pages>3</Pages>
  <Words>1317</Words>
  <Characters>1449</Characters>
  <Lines>90</Lines>
  <Paragraphs>76</Paragraphs>
  <CharactersWithSpaces>1529</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vivo用户</cp:lastModifiedBy>
  <cp:revision>0</cp:revision>
  <dcterms:modified xsi:type="dcterms:W3CDTF">2026-03-28T14:55:57Z</dcterms:modified>
</cp:coreProperties>
</file>