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驻马店博物馆项目概况说明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项目名称</w:t>
      </w:r>
      <w:r>
        <w:rPr>
          <w:rFonts w:ascii="宋体" w:eastAsia="宋体" w:cs="宋体"/>
          <w:b w:val="0"/>
          <w:i w:val="0"/>
          <w:spacing w:val="0"/>
          <w:sz w:val="24"/>
        </w:rPr>
        <w:t>：驻马店博物馆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项目地点</w:t>
      </w:r>
      <w:r>
        <w:rPr>
          <w:rFonts w:ascii="宋体" w:eastAsia="宋体" w:cs="宋体"/>
          <w:b w:val="0"/>
          <w:i w:val="0"/>
          <w:spacing w:val="0"/>
          <w:sz w:val="24"/>
        </w:rPr>
        <w:t>：河南省驻马店市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bookmarkStart w:id="0" w:name="_GoBack"/>
      <w:bookmarkEnd w:id="0"/>
      <w:r>
        <w:rPr>
          <w:rFonts w:ascii="宋体" w:eastAsia="宋体" w:cs="宋体"/>
          <w:b/>
          <w:i w:val="0"/>
          <w:spacing w:val="0"/>
          <w:sz w:val="24"/>
        </w:rPr>
        <w:t>一、项目背景与定位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为贯彻落实国家绿色建筑发展战略，推动公共文化设施建设的可持续发展，驻马店博物馆项目在规划、设计及建设全过程中，积极响应《绿色建筑评价标准》（GB/T 50378）及相关地方标准要求，致力于打造一座集文化展示、公众教育、科研交流与生态节能于一体的现代化绿色公共文化场馆。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本项目作为驻马店市重点文化基础设施，承担着传承天中历史文化、展示区域文明成果、服务市民公共文化需求的重要职能。在满足功能需求的基础上，项目高度重视环境友好性、资源节约性与运营可持续性，通过系统化的绿色技术集成与创新设计，全面践行绿色建筑理念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二、建设规模与主要技术指标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项目总用地面积为</w:t>
      </w:r>
      <w:r>
        <w:rPr>
          <w:rFonts w:ascii="宋体" w:eastAsia="宋体" w:cs="宋体"/>
          <w:b/>
          <w:i w:val="0"/>
          <w:spacing w:val="0"/>
          <w:sz w:val="24"/>
        </w:rPr>
        <w:t>2.8公顷</w:t>
      </w:r>
      <w:r>
        <w:rPr>
          <w:rFonts w:ascii="宋体" w:eastAsia="宋体" w:cs="宋体"/>
          <w:b w:val="0"/>
          <w:i w:val="0"/>
          <w:spacing w:val="0"/>
          <w:sz w:val="24"/>
        </w:rPr>
        <w:t>，总建筑面积</w:t>
      </w:r>
      <w:r>
        <w:rPr>
          <w:rFonts w:ascii="宋体" w:eastAsia="宋体" w:cs="宋体"/>
          <w:b/>
          <w:i w:val="0"/>
          <w:spacing w:val="0"/>
          <w:sz w:val="24"/>
        </w:rPr>
        <w:t>32000平方米</w:t>
      </w:r>
      <w:r>
        <w:rPr>
          <w:rFonts w:ascii="宋体" w:eastAsia="宋体" w:cs="宋体"/>
          <w:b w:val="0"/>
          <w:i w:val="0"/>
          <w:spacing w:val="0"/>
          <w:sz w:val="24"/>
        </w:rPr>
        <w:t>，其中地上建筑面积</w:t>
      </w:r>
      <w:r>
        <w:rPr>
          <w:rFonts w:ascii="宋体" w:eastAsia="宋体" w:cs="宋体"/>
          <w:b/>
          <w:i w:val="0"/>
          <w:spacing w:val="0"/>
          <w:sz w:val="24"/>
        </w:rPr>
        <w:t>24000平方米</w:t>
      </w:r>
      <w:r>
        <w:rPr>
          <w:rFonts w:ascii="宋体" w:eastAsia="宋体" w:cs="宋体"/>
          <w:b w:val="0"/>
          <w:i w:val="0"/>
          <w:spacing w:val="0"/>
          <w:sz w:val="24"/>
        </w:rPr>
        <w:t>，地下建筑面积</w:t>
      </w:r>
      <w:r>
        <w:rPr>
          <w:rFonts w:ascii="宋体" w:eastAsia="宋体" w:cs="宋体"/>
          <w:b/>
          <w:i w:val="0"/>
          <w:spacing w:val="0"/>
          <w:sz w:val="24"/>
        </w:rPr>
        <w:t>8000平方米</w:t>
      </w:r>
      <w:r>
        <w:rPr>
          <w:rFonts w:ascii="宋体" w:eastAsia="宋体" w:cs="宋体"/>
          <w:b w:val="0"/>
          <w:i w:val="0"/>
          <w:spacing w:val="0"/>
          <w:sz w:val="24"/>
        </w:rPr>
        <w:t>。建筑主体为地上三层、地下一层结构，建筑高度</w:t>
      </w:r>
      <w:r>
        <w:rPr>
          <w:rFonts w:ascii="宋体" w:eastAsia="宋体" w:cs="宋体"/>
          <w:b/>
          <w:i w:val="0"/>
          <w:spacing w:val="0"/>
          <w:sz w:val="24"/>
        </w:rPr>
        <w:t>23.6米</w:t>
      </w:r>
      <w:r>
        <w:rPr>
          <w:rFonts w:ascii="宋体" w:eastAsia="宋体" w:cs="宋体"/>
          <w:b w:val="0"/>
          <w:i w:val="0"/>
          <w:spacing w:val="0"/>
          <w:sz w:val="24"/>
        </w:rPr>
        <w:t>（至檐口），容积率</w:t>
      </w:r>
      <w:r>
        <w:rPr>
          <w:rFonts w:ascii="宋体" w:eastAsia="宋体" w:cs="宋体"/>
          <w:b/>
          <w:i w:val="0"/>
          <w:spacing w:val="0"/>
          <w:sz w:val="24"/>
        </w:rPr>
        <w:t>0.85</w:t>
      </w:r>
      <w:r>
        <w:rPr>
          <w:rFonts w:ascii="宋体" w:eastAsia="宋体" w:cs="宋体"/>
          <w:b w:val="0"/>
          <w:i w:val="0"/>
          <w:spacing w:val="0"/>
          <w:sz w:val="24"/>
        </w:rPr>
        <w:t>，建筑密度</w:t>
      </w:r>
      <w:r>
        <w:rPr>
          <w:rFonts w:ascii="宋体" w:eastAsia="宋体" w:cs="宋体"/>
          <w:b/>
          <w:i w:val="0"/>
          <w:spacing w:val="0"/>
          <w:sz w:val="24"/>
        </w:rPr>
        <w:t>32%</w:t>
      </w:r>
      <w:r>
        <w:rPr>
          <w:rFonts w:ascii="宋体" w:eastAsia="宋体" w:cs="宋体"/>
          <w:b w:val="0"/>
          <w:i w:val="0"/>
          <w:spacing w:val="0"/>
          <w:sz w:val="24"/>
        </w:rPr>
        <w:t>，绿地率</w:t>
      </w:r>
      <w:r>
        <w:rPr>
          <w:rFonts w:ascii="宋体" w:eastAsia="宋体" w:cs="宋体"/>
          <w:b/>
          <w:i w:val="0"/>
          <w:spacing w:val="0"/>
          <w:sz w:val="24"/>
        </w:rPr>
        <w:t>35.5%</w:t>
      </w:r>
      <w:r>
        <w:rPr>
          <w:rFonts w:ascii="宋体" w:eastAsia="宋体" w:cs="宋体"/>
          <w:b w:val="0"/>
          <w:i w:val="0"/>
          <w:spacing w:val="0"/>
          <w:sz w:val="24"/>
        </w:rPr>
        <w:t>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项目采用框架结构体系，外墙采用高性能保温材料与装饰一体化外墙系统，屋面设置屋顶绿化与太阳能光伏系统，外窗采用断桥铝合金Low-E中空玻璃，整体围护结构热工性能优于国家现行标准</w:t>
      </w:r>
      <w:r>
        <w:rPr>
          <w:rFonts w:ascii="宋体" w:eastAsia="宋体" w:cs="宋体"/>
          <w:b/>
          <w:i w:val="0"/>
          <w:spacing w:val="0"/>
          <w:sz w:val="24"/>
        </w:rPr>
        <w:t>15%以上。暖通空调系统采用高效变频多联机与新风热回收技术，照明系统全面采用LED节能灯具并结合智能照明控制，可再生能源利用率不低于12%</w:t>
      </w:r>
      <w:r>
        <w:rPr>
          <w:rFonts w:ascii="宋体" w:eastAsia="宋体" w:cs="宋体"/>
          <w:b w:val="0"/>
          <w:i w:val="0"/>
          <w:spacing w:val="0"/>
          <w:sz w:val="24"/>
        </w:rPr>
        <w:t>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三、绿色建筑目标与创新方向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本项目以</w:t>
      </w:r>
      <w:r>
        <w:rPr>
          <w:rFonts w:ascii="宋体" w:eastAsia="宋体" w:cs="宋体"/>
          <w:b/>
          <w:i w:val="0"/>
          <w:spacing w:val="0"/>
          <w:sz w:val="24"/>
        </w:rPr>
        <w:t>绿色建筑二星级</w:t>
      </w:r>
      <w:r>
        <w:rPr>
          <w:rFonts w:ascii="宋体" w:eastAsia="宋体" w:cs="宋体"/>
          <w:b w:val="0"/>
          <w:i w:val="0"/>
          <w:spacing w:val="0"/>
          <w:sz w:val="24"/>
        </w:rPr>
        <w:t>（或三星级）为建设目标，重点在以下几个方面开展技术创新与实践：</w:t>
      </w:r>
    </w:p>
    <w:p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节能与能源利用</w:t>
      </w:r>
      <w:r>
        <w:rPr>
          <w:rFonts w:ascii="宋体" w:eastAsia="宋体" w:cs="宋体"/>
          <w:b w:val="0"/>
          <w:i w:val="0"/>
          <w:spacing w:val="0"/>
          <w:sz w:val="24"/>
        </w:rPr>
        <w:t>：通过建筑朝向优化、自然采光模拟、高效围护结构与可再生能源利用，显著降低建筑运行能耗。</w:t>
      </w:r>
    </w:p>
    <w:p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节水与水资源利用</w:t>
      </w:r>
      <w:r>
        <w:rPr>
          <w:rFonts w:ascii="宋体" w:eastAsia="宋体" w:cs="宋体"/>
          <w:b w:val="0"/>
          <w:i w:val="0"/>
          <w:spacing w:val="0"/>
          <w:sz w:val="24"/>
        </w:rPr>
        <w:t>：设置雨水收集回用系统，用于景观补水与室外冲洗，非传统水源利用率不低于</w:t>
      </w:r>
      <w:r>
        <w:rPr>
          <w:rFonts w:ascii="宋体" w:eastAsia="宋体" w:cs="宋体"/>
          <w:b/>
          <w:i w:val="0"/>
          <w:spacing w:val="0"/>
          <w:sz w:val="24"/>
        </w:rPr>
        <w:t>18%</w:t>
      </w:r>
      <w:r>
        <w:rPr>
          <w:rFonts w:ascii="宋体" w:eastAsia="宋体" w:cs="宋体"/>
          <w:b w:val="0"/>
          <w:i w:val="0"/>
          <w:spacing w:val="0"/>
          <w:sz w:val="24"/>
        </w:rPr>
        <w:t>。</w:t>
      </w:r>
    </w:p>
    <w:p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节材与材料资源利用</w:t>
      </w:r>
      <w:r>
        <w:rPr>
          <w:rFonts w:ascii="宋体" w:eastAsia="宋体" w:cs="宋体"/>
          <w:b w:val="0"/>
          <w:i w:val="0"/>
          <w:spacing w:val="0"/>
          <w:sz w:val="24"/>
        </w:rPr>
        <w:t>：优先采用本地化、可循环建材，结构材料中可再循环材料使用比例达</w:t>
      </w:r>
      <w:r>
        <w:rPr>
          <w:rFonts w:ascii="宋体" w:eastAsia="宋体" w:cs="宋体"/>
          <w:b/>
          <w:i w:val="0"/>
          <w:spacing w:val="0"/>
          <w:sz w:val="24"/>
        </w:rPr>
        <w:t>10.5%</w:t>
      </w:r>
      <w:r>
        <w:rPr>
          <w:rFonts w:ascii="宋体" w:eastAsia="宋体" w:cs="宋体"/>
          <w:b w:val="0"/>
          <w:i w:val="0"/>
          <w:spacing w:val="0"/>
          <w:sz w:val="24"/>
        </w:rPr>
        <w:t>。</w:t>
      </w:r>
    </w:p>
    <w:p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室内环境质量</w:t>
      </w:r>
      <w:r>
        <w:rPr>
          <w:rFonts w:ascii="宋体" w:eastAsia="宋体" w:cs="宋体"/>
          <w:b w:val="0"/>
          <w:i w:val="0"/>
          <w:spacing w:val="0"/>
          <w:sz w:val="24"/>
        </w:rPr>
        <w:t>：通过自然通风模拟优化、高隔音性能门窗与低挥发性材料选用，保障展厅与公共空间的舒适性与健康性。</w:t>
      </w:r>
    </w:p>
    <w:p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智能运维与碳排放管理</w:t>
      </w:r>
      <w:r>
        <w:rPr>
          <w:rFonts w:ascii="宋体" w:eastAsia="宋体" w:cs="宋体"/>
          <w:b w:val="0"/>
          <w:i w:val="0"/>
          <w:spacing w:val="0"/>
          <w:sz w:val="24"/>
        </w:rPr>
        <w:t>：集成建筑能耗监测平台，实现碳排放数据实时统计与分析，助力“双碳”目标落地。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四、项目实施进展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截至目前，项目已完成方案设计与初步设计审查，绿色建筑专项技术方案已通过专家论证，施工图设计阶段已全面落实绿色建筑措施。项目计划于</w:t>
      </w:r>
      <w:r>
        <w:rPr>
          <w:rFonts w:ascii="宋体" w:eastAsia="宋体" w:cs="宋体"/>
          <w:b/>
          <w:i w:val="0"/>
          <w:spacing w:val="0"/>
          <w:sz w:val="24"/>
        </w:rPr>
        <w:t>2025年6月</w:t>
      </w:r>
      <w:r>
        <w:rPr>
          <w:rFonts w:ascii="宋体" w:eastAsia="宋体" w:cs="宋体"/>
          <w:b w:val="0"/>
          <w:i w:val="0"/>
          <w:spacing w:val="0"/>
          <w:sz w:val="24"/>
        </w:rPr>
        <w:t>竣工并投入使用，届时将成为驻马店市绿色公共文化建筑的示范标杆。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特此说明。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[单位名称]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[具体日期]</w:t>
      </w:r>
    </w:p>
    <w:sectPr>
      <w:headerReference w:type="default" r:id="rId2"/>
      <w:footerReference w:type="default" r:id="rId3"/>
      <w:pgSz w:w="11900" w:h="15840"/>
      <w:pgMar w:top="1440" w:right="1800" w:bottom="1440" w:left="180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32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Droid Sans Fallback" w:eastAsia="Noto Sans CJK SC" w:hAnsi="Droid Sans Fallback"/>
      <w:kern w:val="2"/>
      <w:sz w:val="21"/>
      <w:szCs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964</Words>
  <Characters>1015</Characters>
  <Lines>42</Lines>
  <Paragraphs>21</Paragraphs>
  <CharactersWithSpaces>1021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modified xsi:type="dcterms:W3CDTF">2026-03-28T14:54:47Z</dcterms:modified>
</cp:coreProperties>
</file>