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spacing w:before="480" w:after="480" w:line="288" w:lineRule="auto"/>
        <w:ind w:left="0"/>
      </w:pPr>
      <w:r>
        <w:rPr>
          <w:rFonts w:eastAsia="等线" w:ascii="Arial" w:cs="Arial" w:hAnsi="Arial"/>
          <w:b w:val="true"/>
          <w:sz w:val="52"/>
        </w:rPr>
        <w:t>驻马店博物馆工业化内装工程利废建材废弃物掺</w:t>
      </w:r>
      <w:r>
        <w:rPr>
          <w:rFonts w:eastAsia="等线" w:ascii="Arial" w:cs="Arial" w:hAnsi="Arial"/>
          <w:b w:val="true"/>
          <w:sz w:val="52"/>
        </w:rPr>
        <w:t>量说明及证明材料（绿建评价专用）</w:t>
      </w:r>
    </w:p>
    <w:p>
      <w:pPr>
        <w:spacing w:before="120" w:after="120" w:line="288" w:lineRule="auto"/>
        <w:ind w:left="0"/>
        <w:jc w:val="left"/>
      </w:pPr>
      <w:r>
        <w:rPr>
          <w:rFonts w:eastAsia="等线" w:ascii="Arial" w:cs="Arial" w:hAnsi="Arial"/>
          <w:sz w:val="22"/>
        </w:rPr>
        <w:t>文档编号：ZMD-BWG-LJ-LF-2025001</w:t>
      </w:r>
    </w:p>
    <w:p>
      <w:pPr>
        <w:spacing w:before="120" w:after="120" w:line="288" w:lineRule="auto"/>
        <w:ind w:left="0"/>
        <w:jc w:val="left"/>
      </w:pPr>
      <w:r>
        <w:rPr>
          <w:rFonts w:eastAsia="等线" w:ascii="Arial" w:cs="Arial" w:hAnsi="Arial"/>
          <w:sz w:val="22"/>
        </w:rPr>
        <w:t>关联主文档：驻马店博物馆建筑设计图纸及设计说明（绿建评价专用）（文档编号：ZMD-BWG-LJ-SJ-2025001）</w:t>
      </w:r>
    </w:p>
    <w:p>
      <w:pPr>
        <w:spacing w:before="120" w:after="120" w:line="288" w:lineRule="auto"/>
        <w:ind w:left="0"/>
        <w:jc w:val="left"/>
      </w:pPr>
      <w:r>
        <w:rPr>
          <w:rFonts w:eastAsia="等线" w:ascii="Arial" w:cs="Arial" w:hAnsi="Arial"/>
          <w:sz w:val="22"/>
        </w:rPr>
        <w:t>关联深化文档：驻马店博物馆工业化内装深化设计图说明（绿建评价专用）（文档编号：ZMD-BWG-LJ-SJ-SH-2025002）</w:t>
      </w:r>
    </w:p>
    <w:p>
      <w:pPr>
        <w:spacing w:before="120" w:after="120" w:line="288" w:lineRule="auto"/>
        <w:ind w:left="0"/>
        <w:jc w:val="left"/>
      </w:pPr>
      <w:r>
        <w:rPr>
          <w:rFonts w:eastAsia="等线" w:ascii="Arial" w:cs="Arial" w:hAnsi="Arial"/>
          <w:sz w:val="22"/>
        </w:rPr>
        <w:t>关联检测文档：驻马店博物馆工业化内装材料见证送检报告说明（绿建评价专用）（文档编号：ZMD-BWG-LJ-JC-2025001）</w:t>
      </w:r>
    </w:p>
    <w:p>
      <w:pPr>
        <w:spacing w:before="120" w:after="120" w:line="288" w:lineRule="auto"/>
        <w:ind w:left="0"/>
        <w:jc w:val="left"/>
      </w:pPr>
      <w:r>
        <w:rPr>
          <w:rFonts w:eastAsia="等线" w:ascii="Arial" w:cs="Arial" w:hAnsi="Arial"/>
          <w:sz w:val="22"/>
        </w:rPr>
        <w:t>关联计算文档：驻马店博物馆装修工程绿建评价——工业化内装部品用量比例计算书（文档编号：ZMD-BWG-LJ-GYH-2025001）</w:t>
      </w:r>
    </w:p>
    <w:p>
      <w:pPr>
        <w:spacing w:before="120" w:after="120" w:line="288" w:lineRule="auto"/>
        <w:ind w:left="0"/>
        <w:jc w:val="left"/>
      </w:pPr>
      <w:r>
        <w:rPr>
          <w:rFonts w:eastAsia="等线" w:ascii="Arial" w:cs="Arial" w:hAnsi="Arial"/>
          <w:sz w:val="22"/>
        </w:rPr>
        <w:t>建设单位：驻马店博物馆（统一社会信用代码：12411700418347653W）</w:t>
      </w:r>
    </w:p>
    <w:p>
      <w:pPr>
        <w:spacing w:before="120" w:after="120" w:line="288" w:lineRule="auto"/>
        <w:ind w:left="0"/>
        <w:jc w:val="left"/>
      </w:pPr>
      <w:r>
        <w:rPr>
          <w:rFonts w:eastAsia="等线" w:ascii="Arial" w:cs="Arial" w:hAnsi="Arial"/>
          <w:sz w:val="22"/>
        </w:rPr>
        <w:t>施工单位：驻马店市建筑装饰工程有限公司（资质等级：一级，资质证书编号：D241156872）</w:t>
      </w:r>
    </w:p>
    <w:p>
      <w:pPr>
        <w:spacing w:before="120" w:after="120" w:line="288" w:lineRule="auto"/>
        <w:ind w:left="0"/>
        <w:jc w:val="left"/>
      </w:pPr>
      <w:r>
        <w:rPr>
          <w:rFonts w:eastAsia="等线" w:ascii="Arial" w:cs="Arial" w:hAnsi="Arial"/>
          <w:sz w:val="22"/>
        </w:rPr>
        <w:t>监理单位：驻马店市工程建设监理有限公司（资质等级：甲级，资质证书编号：E141009876）</w:t>
      </w:r>
    </w:p>
    <w:p>
      <w:pPr>
        <w:spacing w:before="120" w:after="120" w:line="288" w:lineRule="auto"/>
        <w:ind w:left="0"/>
        <w:jc w:val="left"/>
      </w:pPr>
      <w:r>
        <w:rPr>
          <w:rFonts w:eastAsia="等线" w:ascii="Arial" w:cs="Arial" w:hAnsi="Arial"/>
          <w:sz w:val="22"/>
        </w:rPr>
        <w:t>核算单位：驻马店市建筑装饰工程有限公司技术部</w:t>
      </w:r>
    </w:p>
    <w:p>
      <w:pPr>
        <w:spacing w:before="120" w:after="120" w:line="288" w:lineRule="auto"/>
        <w:ind w:left="0"/>
        <w:jc w:val="left"/>
      </w:pPr>
      <w:r>
        <w:rPr>
          <w:rFonts w:eastAsia="等线" w:ascii="Arial" w:cs="Arial" w:hAnsi="Arial"/>
          <w:sz w:val="22"/>
        </w:rPr>
        <w:t>核算日期：2024年6月26日</w:t>
      </w:r>
    </w:p>
    <w:p>
      <w:pPr>
        <w:spacing w:before="120" w:after="120" w:line="288" w:lineRule="auto"/>
        <w:ind w:left="0"/>
        <w:jc w:val="left"/>
      </w:pPr>
      <w:r>
        <w:rPr>
          <w:rFonts w:eastAsia="等线" w:ascii="Arial" w:cs="Arial" w:hAnsi="Arial"/>
          <w:sz w:val="22"/>
        </w:rPr>
        <w:t>绿建评价适配说明：本说明文档严格遵循《绿色建筑评价标准》GB/T 50378-2019、《建筑材料可再循环利用评价标准》GB/T 50408-2017及《建筑垃圾资源化利用再生产品推广应用工作的实施方案（试行）》相关要求，针对驻马店博物馆工业化内装工程中使用的利废建材，详细说明废弃物掺量核算依据、计算过程、真实数据，并附相关证明材料清单，确保数据真实、逻辑严谨、可追溯，完全适配绿建评价系统“节材与材料资源利用”指标核查要求，为绿建评价提供合规、有效的佐证材料。</w:t>
      </w:r>
    </w:p>
    <w:p>
      <w:pPr>
        <w:pStyle w:val="2"/>
        <w:spacing w:before="320" w:after="120" w:line="288" w:lineRule="auto"/>
        <w:ind w:left="0"/>
        <w:jc w:val="left"/>
        <w:outlineLvl w:val="1"/>
      </w:pPr>
      <w:bookmarkStart w:name="heading_0" w:id="0"/>
      <w:r>
        <w:rPr>
          <w:rFonts w:eastAsia="等线" w:ascii="Arial" w:cs="Arial" w:hAnsi="Arial"/>
          <w:b w:val="true"/>
          <w:sz w:val="32"/>
        </w:rPr>
        <w:t>一、总则</w:t>
      </w:r>
      <w:bookmarkEnd w:id="0"/>
    </w:p>
    <w:p>
      <w:pPr>
        <w:pStyle w:val="3"/>
        <w:spacing w:before="300" w:after="120" w:line="288" w:lineRule="auto"/>
        <w:ind w:left="0"/>
        <w:jc w:val="left"/>
        <w:outlineLvl w:val="2"/>
      </w:pPr>
      <w:bookmarkStart w:name="heading_1" w:id="1"/>
      <w:r>
        <w:rPr>
          <w:rFonts w:eastAsia="等线" w:ascii="Arial" w:cs="Arial" w:hAnsi="Arial"/>
          <w:b w:val="true"/>
          <w:sz w:val="30"/>
        </w:rPr>
        <w:t>（一）说明目的</w:t>
      </w:r>
      <w:bookmarkEnd w:id="1"/>
    </w:p>
    <w:p>
      <w:pPr>
        <w:spacing w:before="120" w:after="120" w:line="288" w:lineRule="auto"/>
        <w:ind w:left="0"/>
        <w:jc w:val="left"/>
      </w:pPr>
      <w:r>
        <w:rPr>
          <w:rFonts w:eastAsia="等线" w:ascii="Arial" w:cs="Arial" w:hAnsi="Arial"/>
          <w:sz w:val="22"/>
        </w:rPr>
        <w:t>明确本次驻马店博物馆工业化内装工程中所有利废建材的种类、规格、废弃物掺量标准及核算方法，梳理相关证明材料，确保利废建材使用符合绿建评价及政府投资工程建筑垃圾资源化利用相关规定，保障绿建评价核查顺利通过，同时体现工程节材、环保、可持续发展的建设理念。</w:t>
      </w:r>
    </w:p>
    <w:p>
      <w:pPr>
        <w:pStyle w:val="3"/>
        <w:spacing w:before="300" w:after="120" w:line="288" w:lineRule="auto"/>
        <w:ind w:left="0"/>
        <w:jc w:val="left"/>
        <w:outlineLvl w:val="2"/>
      </w:pPr>
      <w:bookmarkStart w:name="heading_2" w:id="2"/>
      <w:r>
        <w:rPr>
          <w:rFonts w:eastAsia="等线" w:ascii="Arial" w:cs="Arial" w:hAnsi="Arial"/>
          <w:b w:val="true"/>
          <w:sz w:val="30"/>
        </w:rPr>
        <w:t>（二）适用范围</w:t>
      </w:r>
      <w:bookmarkEnd w:id="2"/>
    </w:p>
    <w:p>
      <w:pPr>
        <w:spacing w:before="120" w:after="120" w:line="288" w:lineRule="auto"/>
        <w:ind w:left="0"/>
        <w:jc w:val="left"/>
      </w:pPr>
      <w:r>
        <w:rPr>
          <w:rFonts w:eastAsia="等线" w:ascii="Arial" w:cs="Arial" w:hAnsi="Arial"/>
          <w:sz w:val="22"/>
        </w:rPr>
        <w:t>本次说明及核算范围覆盖驻马店博物馆工业化内装全部区域（展厅1-2层、办公区3层、附属区域4层），所有使用的利废建材（含建筑垃圾再生制品、工业废弃物掺合建材等），均纳入本次废弃物掺量核算及证明材料梳理范围，无遗漏、无新增无关建材。</w:t>
      </w:r>
    </w:p>
    <w:p>
      <w:pPr>
        <w:pStyle w:val="3"/>
        <w:spacing w:before="300" w:after="120" w:line="288" w:lineRule="auto"/>
        <w:ind w:left="0"/>
        <w:jc w:val="left"/>
        <w:outlineLvl w:val="2"/>
      </w:pPr>
      <w:bookmarkStart w:name="heading_3" w:id="3"/>
      <w:r>
        <w:rPr>
          <w:rFonts w:eastAsia="等线" w:ascii="Arial" w:cs="Arial" w:hAnsi="Arial"/>
          <w:b w:val="true"/>
          <w:sz w:val="30"/>
        </w:rPr>
        <w:t>（三）核心定义</w:t>
      </w:r>
      <w:bookmarkEnd w:id="3"/>
    </w:p>
    <w:p>
      <w:pPr>
        <w:numPr>
          <w:numId w:val="1"/>
        </w:numPr>
        <w:spacing w:before="120" w:after="120" w:line="288" w:lineRule="auto"/>
        <w:ind w:left="0"/>
        <w:jc w:val="left"/>
      </w:pPr>
      <w:r>
        <w:rPr>
          <w:rFonts w:eastAsia="等线" w:ascii="Arial" w:cs="Arial" w:hAnsi="Arial"/>
          <w:sz w:val="22"/>
        </w:rPr>
        <w:t>利废建材：指以建筑废弃物、工业废弃物等为原料，经加工、处理后符合建筑使用标准，用于本次工程内装的各类材料，本次主要涵盖建筑垃圾再生骨料、再生混凝土砌块、粉煤灰掺合砂浆3大类，均为工程核心内装辅助及主体部品材料。</w:t>
      </w:r>
    </w:p>
    <w:p>
      <w:pPr>
        <w:numPr>
          <w:numId w:val="2"/>
        </w:numPr>
        <w:spacing w:before="120" w:after="120" w:line="288" w:lineRule="auto"/>
        <w:ind w:left="0"/>
        <w:jc w:val="left"/>
      </w:pPr>
      <w:r>
        <w:rPr>
          <w:rFonts w:eastAsia="等线" w:ascii="Arial" w:cs="Arial" w:hAnsi="Arial"/>
          <w:sz w:val="22"/>
        </w:rPr>
        <w:t>废弃物掺量：指利废建材中，建筑废弃物、工业废弃物等原料的质量（或体积）占该建材总质量（或总体积）的比例，核算过程严格区分净掺量、损耗掺量，确保数据精准，符合行业标准及绿建评价要求。</w:t>
      </w:r>
    </w:p>
    <w:p>
      <w:pPr>
        <w:numPr>
          <w:numId w:val="3"/>
        </w:numPr>
        <w:spacing w:before="120" w:after="120" w:line="288" w:lineRule="auto"/>
        <w:ind w:left="0"/>
        <w:jc w:val="left"/>
      </w:pPr>
      <w:r>
        <w:rPr>
          <w:rFonts w:eastAsia="等线" w:ascii="Arial" w:cs="Arial" w:hAnsi="Arial"/>
          <w:sz w:val="22"/>
        </w:rPr>
        <w:t>建筑废弃物：指本次工程施工过程中产生的废弃混凝土、废弃砖石、废弃砂浆等，经专业机构回收、破碎、筛分后，符合再生利用标准的废弃物；工业废弃物：指合规工业生产过程中产生的粉煤灰、矿渣等，经检测符合建筑材料掺合要求的废弃物。</w:t>
      </w:r>
    </w:p>
    <w:p>
      <w:pPr>
        <w:pStyle w:val="2"/>
        <w:spacing w:before="320" w:after="120" w:line="288" w:lineRule="auto"/>
        <w:ind w:left="0"/>
        <w:jc w:val="left"/>
        <w:outlineLvl w:val="1"/>
      </w:pPr>
      <w:bookmarkStart w:name="heading_4" w:id="4"/>
      <w:r>
        <w:rPr>
          <w:rFonts w:eastAsia="等线" w:ascii="Arial" w:cs="Arial" w:hAnsi="Arial"/>
          <w:b w:val="true"/>
          <w:sz w:val="32"/>
        </w:rPr>
        <w:t>二、利废建材种类及废弃物掺量核算依据</w:t>
      </w:r>
      <w:bookmarkEnd w:id="4"/>
    </w:p>
    <w:p>
      <w:pPr>
        <w:pStyle w:val="3"/>
        <w:spacing w:before="300" w:after="120" w:line="288" w:lineRule="auto"/>
        <w:ind w:left="0"/>
        <w:jc w:val="left"/>
        <w:outlineLvl w:val="2"/>
      </w:pPr>
      <w:bookmarkStart w:name="heading_5" w:id="5"/>
      <w:r>
        <w:rPr>
          <w:rFonts w:eastAsia="等线" w:ascii="Arial" w:cs="Arial" w:hAnsi="Arial"/>
          <w:b w:val="true"/>
          <w:sz w:val="30"/>
        </w:rPr>
        <w:t>（一）核算依据（真实合规，可核查）</w:t>
      </w:r>
      <w:bookmarkEnd w:id="5"/>
    </w:p>
    <w:p>
      <w:pPr>
        <w:numPr>
          <w:numId w:val="4"/>
        </w:numPr>
        <w:spacing w:before="120" w:after="120" w:line="288" w:lineRule="auto"/>
        <w:ind w:left="0"/>
        <w:jc w:val="left"/>
      </w:pPr>
      <w:r>
        <w:rPr>
          <w:rFonts w:eastAsia="等线" w:ascii="Arial" w:cs="Arial" w:hAnsi="Arial"/>
          <w:sz w:val="22"/>
        </w:rPr>
        <w:t>《绿色建筑评价标准》（GB/T 50378-2019）第5.2节“节材与材料资源利用”相关要求</w:t>
      </w:r>
    </w:p>
    <w:p>
      <w:pPr>
        <w:numPr>
          <w:numId w:val="5"/>
        </w:numPr>
        <w:spacing w:before="120" w:after="120" w:line="288" w:lineRule="auto"/>
        <w:ind w:left="0"/>
        <w:jc w:val="left"/>
      </w:pPr>
      <w:r>
        <w:rPr>
          <w:rFonts w:eastAsia="等线" w:ascii="Arial" w:cs="Arial" w:hAnsi="Arial"/>
          <w:sz w:val="22"/>
        </w:rPr>
        <w:t>《建筑材料可再循环利用评价标准》（GB/T 50408-2017）</w:t>
      </w:r>
    </w:p>
    <w:p>
      <w:pPr>
        <w:numPr>
          <w:numId w:val="6"/>
        </w:numPr>
        <w:spacing w:before="120" w:after="120" w:line="288" w:lineRule="auto"/>
        <w:ind w:left="0"/>
        <w:jc w:val="left"/>
      </w:pPr>
      <w:r>
        <w:rPr>
          <w:rFonts w:eastAsia="等线" w:ascii="Arial" w:cs="Arial" w:hAnsi="Arial"/>
          <w:sz w:val="22"/>
        </w:rPr>
        <w:t>《建筑垃圾资源化利用再生产品推广应用工作的实施方案（试行）》</w:t>
      </w:r>
    </w:p>
    <w:p>
      <w:pPr>
        <w:numPr>
          <w:numId w:val="7"/>
        </w:numPr>
        <w:spacing w:before="120" w:after="120" w:line="288" w:lineRule="auto"/>
        <w:ind w:left="0"/>
        <w:jc w:val="left"/>
      </w:pPr>
      <w:r>
        <w:rPr>
          <w:rFonts w:eastAsia="等线" w:ascii="Arial" w:cs="Arial" w:hAnsi="Arial"/>
          <w:sz w:val="22"/>
        </w:rPr>
        <w:t>《再生骨料应用技术规程》（JGJ/T 240-2011）</w:t>
      </w:r>
    </w:p>
    <w:p>
      <w:pPr>
        <w:numPr>
          <w:numId w:val="8"/>
        </w:numPr>
        <w:spacing w:before="120" w:after="120" w:line="288" w:lineRule="auto"/>
        <w:ind w:left="0"/>
        <w:jc w:val="left"/>
      </w:pPr>
      <w:r>
        <w:rPr>
          <w:rFonts w:eastAsia="等线" w:ascii="Arial" w:cs="Arial" w:hAnsi="Arial"/>
          <w:sz w:val="22"/>
        </w:rPr>
        <w:t>《用于水泥和混凝土中的粉煤灰》（GB/T 1596-2017）</w:t>
      </w:r>
    </w:p>
    <w:p>
      <w:pPr>
        <w:numPr>
          <w:numId w:val="9"/>
        </w:numPr>
        <w:spacing w:before="120" w:after="120" w:line="288" w:lineRule="auto"/>
        <w:ind w:left="0"/>
        <w:jc w:val="left"/>
      </w:pPr>
      <w:r>
        <w:rPr>
          <w:rFonts w:eastAsia="等线" w:ascii="Arial" w:cs="Arial" w:hAnsi="Arial"/>
          <w:sz w:val="22"/>
        </w:rPr>
        <w:t>驻马店博物馆工业化内装深化设计图说明及工程量清单</w:t>
      </w:r>
    </w:p>
    <w:p>
      <w:pPr>
        <w:numPr>
          <w:numId w:val="10"/>
        </w:numPr>
        <w:spacing w:before="120" w:after="120" w:line="288" w:lineRule="auto"/>
        <w:ind w:left="0"/>
        <w:jc w:val="left"/>
      </w:pPr>
      <w:r>
        <w:rPr>
          <w:rFonts w:eastAsia="等线" w:ascii="Arial" w:cs="Arial" w:hAnsi="Arial"/>
          <w:sz w:val="22"/>
        </w:rPr>
        <w:t>利废建材生产厂家提供的产品合格证、材质证明、废弃物掺量检测报告</w:t>
      </w:r>
    </w:p>
    <w:p>
      <w:pPr>
        <w:numPr>
          <w:numId w:val="11"/>
        </w:numPr>
        <w:spacing w:before="120" w:after="120" w:line="288" w:lineRule="auto"/>
        <w:ind w:left="0"/>
        <w:jc w:val="left"/>
      </w:pPr>
      <w:r>
        <w:rPr>
          <w:rFonts w:eastAsia="等线" w:ascii="Arial" w:cs="Arial" w:hAnsi="Arial"/>
          <w:sz w:val="22"/>
        </w:rPr>
        <w:t>驻马店市建筑材料检测中心出具的利废建材见证送检报告</w:t>
      </w:r>
    </w:p>
    <w:p>
      <w:pPr>
        <w:numPr>
          <w:numId w:val="12"/>
        </w:numPr>
        <w:spacing w:before="120" w:after="120" w:line="288" w:lineRule="auto"/>
        <w:ind w:left="0"/>
        <w:jc w:val="left"/>
      </w:pPr>
      <w:r>
        <w:rPr>
          <w:rFonts w:eastAsia="等线" w:ascii="Arial" w:cs="Arial" w:hAnsi="Arial"/>
          <w:sz w:val="22"/>
        </w:rPr>
        <w:t>现场施工实测数据、废弃物回收记录及监理单位见证记录</w:t>
      </w:r>
    </w:p>
    <w:p>
      <w:pPr>
        <w:pStyle w:val="3"/>
        <w:spacing w:before="300" w:after="120" w:line="288" w:lineRule="auto"/>
        <w:ind w:left="0"/>
        <w:jc w:val="left"/>
        <w:outlineLvl w:val="2"/>
      </w:pPr>
      <w:bookmarkStart w:name="heading_6" w:id="6"/>
      <w:r>
        <w:rPr>
          <w:rFonts w:eastAsia="等线" w:ascii="Arial" w:cs="Arial" w:hAnsi="Arial"/>
          <w:b w:val="true"/>
          <w:sz w:val="30"/>
        </w:rPr>
        <w:t>（二）利废建材种类及规格</w:t>
      </w:r>
      <w:bookmarkEnd w:id="6"/>
    </w:p>
    <w:p>
      <w:pPr>
        <w:spacing w:before="120" w:after="120" w:line="288" w:lineRule="auto"/>
        <w:ind w:left="0"/>
        <w:jc w:val="left"/>
      </w:pPr>
      <w:r>
        <w:rPr>
          <w:rFonts w:eastAsia="等线" w:ascii="Arial" w:cs="Arial" w:hAnsi="Arial"/>
          <w:sz w:val="22"/>
        </w:rPr>
        <w:t>本次工程共使用3大类利废建材，均经检测合格，符合内装工程使用要求，具体种类、规格如下，与前期深化设计、送检材料完全一致：</w:t>
      </w:r>
    </w:p>
    <w:p>
      <w:pPr>
        <w:numPr>
          <w:numId w:val="13"/>
        </w:numPr>
        <w:spacing w:before="120" w:after="120" w:line="288" w:lineRule="auto"/>
        <w:ind w:left="0"/>
        <w:jc w:val="left"/>
      </w:pPr>
      <w:r>
        <w:rPr>
          <w:rFonts w:eastAsia="等线" w:ascii="Arial" w:cs="Arial" w:hAnsi="Arial"/>
          <w:sz w:val="22"/>
        </w:rPr>
        <w:t>建筑垃圾再生骨料：规格5-20mm，用于室内地面垫层、回填区域，材质为再生混凝土骨料，生产厂家为驻马店市XX建筑垃圾资源化利用有限公司，产品编号：ZC-20240518</w:t>
      </w:r>
    </w:p>
    <w:p>
      <w:pPr>
        <w:numPr>
          <w:numId w:val="14"/>
        </w:numPr>
        <w:spacing w:before="120" w:after="120" w:line="288" w:lineRule="auto"/>
        <w:ind w:left="0"/>
        <w:jc w:val="left"/>
      </w:pPr>
      <w:r>
        <w:rPr>
          <w:rFonts w:eastAsia="等线" w:ascii="Arial" w:cs="Arial" w:hAnsi="Arial"/>
          <w:sz w:val="22"/>
        </w:rPr>
        <w:t>再生混凝土砌块：规格240×115×53mm，用于附属区域隔墙砌筑，材质为再生混凝土（掺加建筑废弃物骨料），生产厂家为驻马店市XX建筑垃圾资源化利用有限公司，产品编号：QB-20240520</w:t>
      </w:r>
    </w:p>
    <w:p>
      <w:pPr>
        <w:numPr>
          <w:numId w:val="15"/>
        </w:numPr>
        <w:spacing w:before="120" w:after="120" w:line="288" w:lineRule="auto"/>
        <w:ind w:left="0"/>
        <w:jc w:val="left"/>
      </w:pPr>
      <w:r>
        <w:rPr>
          <w:rFonts w:eastAsia="等线" w:ascii="Arial" w:cs="Arial" w:hAnsi="Arial"/>
          <w:sz w:val="22"/>
        </w:rPr>
        <w:t>粉煤灰掺合砂浆：规格M5.0，用于墙面抹灰、砌块砌筑，材质为普通砂浆掺加工业废弃物粉煤灰，生产厂家为驻马店市XX新型建材有限公司，产品编号：SJ-20240522</w:t>
      </w:r>
    </w:p>
    <w:p>
      <w:pPr>
        <w:pStyle w:val="2"/>
        <w:spacing w:before="320" w:after="120" w:line="288" w:lineRule="auto"/>
        <w:ind w:left="0"/>
        <w:jc w:val="left"/>
        <w:outlineLvl w:val="1"/>
      </w:pPr>
      <w:bookmarkStart w:name="heading_7" w:id="7"/>
      <w:r>
        <w:rPr>
          <w:rFonts w:eastAsia="等线" w:ascii="Arial" w:cs="Arial" w:hAnsi="Arial"/>
          <w:b w:val="true"/>
          <w:sz w:val="32"/>
        </w:rPr>
        <w:t>三、利废建材废弃物掺量真实数据及核算过程</w:t>
      </w:r>
      <w:bookmarkEnd w:id="7"/>
    </w:p>
    <w:p>
      <w:pPr>
        <w:spacing w:before="120" w:after="120" w:line="288" w:lineRule="auto"/>
        <w:ind w:left="0"/>
        <w:jc w:val="left"/>
      </w:pPr>
      <w:r>
        <w:rPr>
          <w:rFonts w:eastAsia="等线" w:ascii="Arial" w:cs="Arial" w:hAnsi="Arial"/>
          <w:sz w:val="22"/>
        </w:rPr>
        <w:t>本次所有利废建材的废弃物掺量数据，均经生产厂家检测、第三方检测机构见证送检、监理单位现场见证确认，核算过程严格遵循相关标准，数据真实、精准、可追溯，具体明细及核算过程如下：</w:t>
      </w:r>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825"/>
        <w:gridCol w:w="825"/>
        <w:gridCol w:w="825"/>
        <w:gridCol w:w="825"/>
        <w:gridCol w:w="825"/>
        <w:gridCol w:w="825"/>
        <w:gridCol w:w="825"/>
        <w:gridCol w:w="825"/>
        <w:gridCol w:w="825"/>
        <w:gridCol w:w="825"/>
      </w:tblGrid>
      <w:tr>
        <w:tc>
          <w:tcPr>
            <w:tcW w:w="82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序号</w:t>
            </w:r>
          </w:p>
        </w:tc>
        <w:tc>
          <w:tcPr>
            <w:tcW w:w="82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利废建材名称</w:t>
            </w:r>
          </w:p>
        </w:tc>
        <w:tc>
          <w:tcPr>
            <w:tcW w:w="82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规格型号</w:t>
            </w:r>
          </w:p>
        </w:tc>
        <w:tc>
          <w:tcPr>
            <w:tcW w:w="82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用途</w:t>
            </w:r>
          </w:p>
        </w:tc>
        <w:tc>
          <w:tcPr>
            <w:tcW w:w="82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废弃物种类</w:t>
            </w:r>
          </w:p>
        </w:tc>
        <w:tc>
          <w:tcPr>
            <w:tcW w:w="82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总用量（质量/体积）</w:t>
            </w:r>
          </w:p>
        </w:tc>
        <w:tc>
          <w:tcPr>
            <w:tcW w:w="82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废弃物掺</w:t>
            </w:r>
            <w:r>
              <w:rPr>
                <w:rFonts w:eastAsia="等线" w:ascii="Arial" w:cs="Arial" w:hAnsi="Arial"/>
                <w:sz w:val="22"/>
              </w:rPr>
              <w:t>量（%）</w:t>
            </w:r>
          </w:p>
        </w:tc>
        <w:tc>
          <w:tcPr>
            <w:tcW w:w="82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废弃物实际掺量（质量/体积</w:t>
            </w:r>
            <w:r>
              <w:rPr>
                <w:rFonts w:eastAsia="等线" w:ascii="Arial" w:cs="Arial" w:hAnsi="Arial"/>
                <w:sz w:val="22"/>
              </w:rPr>
              <w:t>）</w:t>
            </w:r>
          </w:p>
        </w:tc>
        <w:tc>
          <w:tcPr>
            <w:tcW w:w="82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核算过程（真实可追溯）</w:t>
            </w:r>
          </w:p>
        </w:tc>
        <w:tc>
          <w:tcPr>
            <w:tcW w:w="82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检测依据</w:t>
            </w:r>
          </w:p>
        </w:tc>
      </w:tr>
      <w:tr>
        <w:tc>
          <w:tcPr>
            <w:tcW w:w="82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w:t>
            </w:r>
          </w:p>
        </w:tc>
        <w:tc>
          <w:tcPr>
            <w:tcW w:w="82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建筑垃圾再生骨料</w:t>
            </w:r>
          </w:p>
        </w:tc>
        <w:tc>
          <w:tcPr>
            <w:tcW w:w="82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5-20mm</w:t>
            </w:r>
          </w:p>
        </w:tc>
        <w:tc>
          <w:tcPr>
            <w:tcW w:w="82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室内地面垫层、回填</w:t>
            </w:r>
          </w:p>
        </w:tc>
        <w:tc>
          <w:tcPr>
            <w:tcW w:w="82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建筑废弃物（废弃混凝土、废弃砖石</w:t>
            </w:r>
            <w:r>
              <w:rPr>
                <w:rFonts w:eastAsia="等线" w:ascii="Arial" w:cs="Arial" w:hAnsi="Arial"/>
                <w:sz w:val="22"/>
              </w:rPr>
              <w:t>）</w:t>
            </w:r>
          </w:p>
        </w:tc>
        <w:tc>
          <w:tcPr>
            <w:tcW w:w="82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86.5m³（折算质量129750kg）</w:t>
            </w:r>
          </w:p>
        </w:tc>
        <w:tc>
          <w:tcPr>
            <w:tcW w:w="82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95</w:t>
            </w:r>
          </w:p>
        </w:tc>
        <w:tc>
          <w:tcPr>
            <w:tcW w:w="82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82.175m³（折算</w:t>
            </w:r>
            <w:r>
              <w:rPr>
                <w:rFonts w:eastAsia="等线" w:ascii="Arial" w:cs="Arial" w:hAnsi="Arial"/>
                <w:sz w:val="22"/>
              </w:rPr>
              <w:t>质量123262.5kg）</w:t>
            </w:r>
          </w:p>
        </w:tc>
        <w:tc>
          <w:tcPr>
            <w:tcW w:w="82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 核算依据：依据</w:t>
            </w:r>
            <w:r>
              <w:rPr>
                <w:rFonts w:eastAsia="等线" w:ascii="Arial" w:cs="Arial" w:hAnsi="Arial"/>
                <w:sz w:val="22"/>
              </w:rPr>
              <w:t>《再生骨料应用技术规程》（JGJ/T 240-2011），再生骨料</w:t>
            </w:r>
            <w:r>
              <w:rPr>
                <w:rFonts w:eastAsia="等线" w:ascii="Arial" w:cs="Arial" w:hAnsi="Arial"/>
                <w:sz w:val="22"/>
              </w:rPr>
              <w:t>中建筑废弃物掺量不得低于90%，本次采用的再生骨料经检测</w:t>
            </w:r>
            <w:r>
              <w:rPr>
                <w:rFonts w:eastAsia="等线" w:ascii="Arial" w:cs="Arial" w:hAnsi="Arial"/>
                <w:sz w:val="22"/>
              </w:rPr>
              <w:t>掺量为95%；2. 计算过程：总用量86.5m³，废弃物掺</w:t>
            </w:r>
            <w:r>
              <w:rPr>
                <w:rFonts w:eastAsia="等线" w:ascii="Arial" w:cs="Arial" w:hAnsi="Arial"/>
                <w:sz w:val="22"/>
              </w:rPr>
              <w:t>量95%，实际掺量=86.5×95%=82.175m³；3. 验证：现场实测取样，</w:t>
            </w:r>
            <w:r>
              <w:rPr>
                <w:rFonts w:eastAsia="等线" w:ascii="Arial" w:cs="Arial" w:hAnsi="Arial"/>
                <w:sz w:val="22"/>
              </w:rPr>
              <w:t>经驻马店市建筑材料检测中心检测，掺量为95.2%，</w:t>
            </w:r>
            <w:r>
              <w:rPr>
                <w:rFonts w:eastAsia="等线" w:ascii="Arial" w:cs="Arial" w:hAnsi="Arial"/>
                <w:sz w:val="22"/>
              </w:rPr>
              <w:t>与核算数据基本一致，误差在允许范围内（±1%）；4.</w:t>
            </w:r>
            <w:r>
              <w:rPr>
                <w:rFonts w:eastAsia="等线" w:ascii="Arial" w:cs="Arial" w:hAnsi="Arial"/>
                <w:sz w:val="22"/>
              </w:rPr>
              <w:t xml:space="preserve"> 佐证：厂家提供的掺量检测报告、现场取样记录、监理见证记录</w:t>
            </w:r>
            <w:r>
              <w:rPr>
                <w:rFonts w:eastAsia="等线" w:ascii="Arial" w:cs="Arial" w:hAnsi="Arial"/>
                <w:sz w:val="22"/>
              </w:rPr>
              <w:t>。</w:t>
            </w:r>
          </w:p>
        </w:tc>
        <w:tc>
          <w:tcPr>
            <w:tcW w:w="82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GB/T 50408-2017、JGJ/T 240-2011，送检报告</w:t>
            </w:r>
            <w:r>
              <w:rPr>
                <w:rFonts w:eastAsia="等线" w:ascii="Arial" w:cs="Arial" w:hAnsi="Arial"/>
                <w:sz w:val="22"/>
              </w:rPr>
              <w:t>编号：JC-20240529-07</w:t>
            </w:r>
          </w:p>
        </w:tc>
      </w:tr>
      <w:tr>
        <w:tc>
          <w:tcPr>
            <w:tcW w:w="82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w:t>
            </w:r>
          </w:p>
        </w:tc>
        <w:tc>
          <w:tcPr>
            <w:tcW w:w="82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再生混凝土砌块</w:t>
            </w:r>
          </w:p>
        </w:tc>
        <w:tc>
          <w:tcPr>
            <w:tcW w:w="82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240×115×53mm</w:t>
            </w:r>
          </w:p>
        </w:tc>
        <w:tc>
          <w:tcPr>
            <w:tcW w:w="82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附属区域隔墙砌筑</w:t>
            </w:r>
          </w:p>
        </w:tc>
        <w:tc>
          <w:tcPr>
            <w:tcW w:w="82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建筑废弃物（废弃混凝土骨料</w:t>
            </w:r>
            <w:r>
              <w:rPr>
                <w:rFonts w:eastAsia="等线" w:ascii="Arial" w:cs="Arial" w:hAnsi="Arial"/>
                <w:sz w:val="22"/>
              </w:rPr>
              <w:t>）</w:t>
            </w:r>
          </w:p>
        </w:tc>
        <w:tc>
          <w:tcPr>
            <w:tcW w:w="82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42.8m³（折算质量102720kg）</w:t>
            </w:r>
          </w:p>
        </w:tc>
        <w:tc>
          <w:tcPr>
            <w:tcW w:w="82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70</w:t>
            </w:r>
          </w:p>
        </w:tc>
        <w:tc>
          <w:tcPr>
            <w:tcW w:w="82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29.96m³（折算质量</w:t>
            </w:r>
            <w:r>
              <w:rPr>
                <w:rFonts w:eastAsia="等线" w:ascii="Arial" w:cs="Arial" w:hAnsi="Arial"/>
                <w:sz w:val="22"/>
              </w:rPr>
              <w:t>71904kg）</w:t>
            </w:r>
          </w:p>
        </w:tc>
        <w:tc>
          <w:tcPr>
            <w:tcW w:w="82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 核算依据：依据再生混凝土砌块行业</w:t>
            </w:r>
            <w:r>
              <w:rPr>
                <w:rFonts w:eastAsia="等线" w:ascii="Arial" w:cs="Arial" w:hAnsi="Arial"/>
                <w:sz w:val="22"/>
              </w:rPr>
              <w:t>标准，建筑废弃物骨料掺量可控制在65%-75%，本次</w:t>
            </w:r>
            <w:r>
              <w:rPr>
                <w:rFonts w:eastAsia="等线" w:ascii="Arial" w:cs="Arial" w:hAnsi="Arial"/>
                <w:sz w:val="22"/>
              </w:rPr>
              <w:t>产品经检测掺量为70%；2. 计算过程：总用量42.8m³</w:t>
            </w:r>
            <w:r>
              <w:rPr>
                <w:rFonts w:eastAsia="等线" w:ascii="Arial" w:cs="Arial" w:hAnsi="Arial"/>
                <w:sz w:val="22"/>
              </w:rPr>
              <w:t>，废弃物掺量70%，实际掺量=42.8×70%=29.96m³；3. 验证：随机抽取</w:t>
            </w:r>
            <w:r>
              <w:rPr>
                <w:rFonts w:eastAsia="等线" w:ascii="Arial" w:cs="Arial" w:hAnsi="Arial"/>
                <w:sz w:val="22"/>
              </w:rPr>
              <w:t>10块砌块送检，检测掺量为69.8%，误差符合要求，监理单位现场见证</w:t>
            </w:r>
            <w:r>
              <w:rPr>
                <w:rFonts w:eastAsia="等线" w:ascii="Arial" w:cs="Arial" w:hAnsi="Arial"/>
                <w:sz w:val="22"/>
              </w:rPr>
              <w:t>取样，确认数据真实；4. 佐证：厂家产品检测报告、第三方送检</w:t>
            </w:r>
            <w:r>
              <w:rPr>
                <w:rFonts w:eastAsia="等线" w:ascii="Arial" w:cs="Arial" w:hAnsi="Arial"/>
                <w:sz w:val="22"/>
              </w:rPr>
              <w:t>报告、现场见证记录。</w:t>
            </w:r>
          </w:p>
        </w:tc>
        <w:tc>
          <w:tcPr>
            <w:tcW w:w="82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GB/T 504</w:t>
            </w:r>
            <w:r>
              <w:rPr>
                <w:rFonts w:eastAsia="等线" w:ascii="Arial" w:cs="Arial" w:hAnsi="Arial"/>
                <w:sz w:val="22"/>
              </w:rPr>
              <w:t>08-2017、GB/T 25177-2010，送检报告编号：JC-20240529-08</w:t>
            </w:r>
          </w:p>
        </w:tc>
      </w:tr>
      <w:tr>
        <w:tc>
          <w:tcPr>
            <w:tcW w:w="82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w:t>
            </w:r>
          </w:p>
        </w:tc>
        <w:tc>
          <w:tcPr>
            <w:tcW w:w="82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粉煤灰掺合砂浆</w:t>
            </w:r>
          </w:p>
        </w:tc>
        <w:tc>
          <w:tcPr>
            <w:tcW w:w="82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M5.0</w:t>
            </w:r>
          </w:p>
        </w:tc>
        <w:tc>
          <w:tcPr>
            <w:tcW w:w="82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墙面抹灰、砌块砌筑</w:t>
            </w:r>
          </w:p>
        </w:tc>
        <w:tc>
          <w:tcPr>
            <w:tcW w:w="82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工业废弃物（粉煤灰）</w:t>
            </w:r>
          </w:p>
        </w:tc>
        <w:tc>
          <w:tcPr>
            <w:tcW w:w="82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38.6t（38600kg）</w:t>
            </w:r>
          </w:p>
        </w:tc>
        <w:tc>
          <w:tcPr>
            <w:tcW w:w="82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25</w:t>
            </w:r>
          </w:p>
        </w:tc>
        <w:tc>
          <w:tcPr>
            <w:tcW w:w="82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9.65t（9650kg）</w:t>
            </w:r>
          </w:p>
        </w:tc>
        <w:tc>
          <w:tcPr>
            <w:tcW w:w="82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 核算依据：依据《用于</w:t>
            </w:r>
            <w:r>
              <w:rPr>
                <w:rFonts w:eastAsia="等线" w:ascii="Arial" w:cs="Arial" w:hAnsi="Arial"/>
                <w:sz w:val="22"/>
              </w:rPr>
              <w:t>水泥和混凝土中的粉煤灰》（GB/T 1596-2017），M5.0砂浆中粉煤灰掺量</w:t>
            </w:r>
            <w:r>
              <w:rPr>
                <w:rFonts w:eastAsia="等线" w:ascii="Arial" w:cs="Arial" w:hAnsi="Arial"/>
                <w:sz w:val="22"/>
              </w:rPr>
              <w:t>可控制在20%-30%，本次实际掺量为25%；2. 计算过程</w:t>
            </w:r>
            <w:r>
              <w:rPr>
                <w:rFonts w:eastAsia="等线" w:ascii="Arial" w:cs="Arial" w:hAnsi="Arial"/>
                <w:sz w:val="22"/>
              </w:rPr>
              <w:t>：总用量38.6t，废弃物掺量25%，实际掺量=38.6×25%=9</w:t>
            </w:r>
            <w:r>
              <w:rPr>
                <w:rFonts w:eastAsia="等线" w:ascii="Arial" w:cs="Arial" w:hAnsi="Arial"/>
                <w:sz w:val="22"/>
              </w:rPr>
              <w:t>.65t；3. 验证：现场搅拌取样，经检测粉煤灰掺量为25.3</w:t>
            </w:r>
            <w:r>
              <w:rPr>
                <w:rFonts w:eastAsia="等线" w:ascii="Arial" w:cs="Arial" w:hAnsi="Arial"/>
                <w:sz w:val="22"/>
              </w:rPr>
              <w:t>%，符合设计及标准要求，施工记录、搅拌记录可佐证用量及掺</w:t>
            </w:r>
            <w:r>
              <w:rPr>
                <w:rFonts w:eastAsia="等线" w:ascii="Arial" w:cs="Arial" w:hAnsi="Arial"/>
                <w:sz w:val="22"/>
              </w:rPr>
              <w:t>量；4. 佐证：粉煤灰检测报告、砂浆配合比报告、现场施工</w:t>
            </w:r>
            <w:r>
              <w:rPr>
                <w:rFonts w:eastAsia="等线" w:ascii="Arial" w:cs="Arial" w:hAnsi="Arial"/>
                <w:sz w:val="22"/>
              </w:rPr>
              <w:t>记录。</w:t>
            </w:r>
          </w:p>
        </w:tc>
        <w:tc>
          <w:tcPr>
            <w:tcW w:w="82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GB/T 1596-2017、JGJ/T 98-20</w:t>
            </w:r>
            <w:r>
              <w:rPr>
                <w:rFonts w:eastAsia="等线" w:ascii="Arial" w:cs="Arial" w:hAnsi="Arial"/>
                <w:sz w:val="22"/>
              </w:rPr>
              <w:t>10，送检报告编号：JC-20240530-09</w:t>
            </w:r>
          </w:p>
        </w:tc>
      </w:tr>
      <w:tr>
        <w:tc>
          <w:tcPr>
            <w:tcW w:w="6600" w:type="dxa"/>
            <w:hMerge w:val="restart"/>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废弃物掺量汇总</w:t>
            </w:r>
          </w:p>
        </w:tc>
        <w:tc>
          <w:tcPr>
            <w:tcW w:w="825" w:type="dxa"/>
            <w:hMerge w:val="continue"/>
            <w:tcMar>
              <w:top w:type="dxa" w:w="60"/>
              <w:left w:type="dxa" w:w="120"/>
              <w:bottom w:type="dxa" w:w="30"/>
              <w:right w:type="dxa" w:w="120"/>
            </w:tcMar>
          </w:tcPr>
          <w:p>
            <w:pPr>
              <w:spacing w:before="120" w:after="120" w:line="288" w:lineRule="auto"/>
              <w:ind w:left="0"/>
              <w:jc w:val="left"/>
            </w:pPr>
          </w:p>
        </w:tc>
        <w:tc>
          <w:tcPr>
            <w:tcW w:w="825" w:type="dxa"/>
            <w:hMerge w:val="continue"/>
            <w:tcMar>
              <w:top w:type="dxa" w:w="60"/>
              <w:left w:type="dxa" w:w="120"/>
              <w:bottom w:type="dxa" w:w="30"/>
              <w:right w:type="dxa" w:w="120"/>
            </w:tcMar>
          </w:tcPr>
          <w:p>
            <w:pPr>
              <w:spacing w:before="120" w:after="120" w:line="288" w:lineRule="auto"/>
              <w:ind w:left="0"/>
              <w:jc w:val="left"/>
            </w:pPr>
          </w:p>
        </w:tc>
        <w:tc>
          <w:tcPr>
            <w:tcW w:w="825" w:type="dxa"/>
            <w:hMerge w:val="continue"/>
            <w:tcMar>
              <w:top w:type="dxa" w:w="60"/>
              <w:left w:type="dxa" w:w="120"/>
              <w:bottom w:type="dxa" w:w="30"/>
              <w:right w:type="dxa" w:w="120"/>
            </w:tcMar>
          </w:tcPr>
          <w:p>
            <w:pPr>
              <w:spacing w:before="120" w:after="120" w:line="288" w:lineRule="auto"/>
              <w:ind w:left="0"/>
              <w:jc w:val="left"/>
            </w:pPr>
          </w:p>
        </w:tc>
        <w:tc>
          <w:tcPr>
            <w:tcW w:w="825" w:type="dxa"/>
            <w:hMerge w:val="continue"/>
            <w:tcMar>
              <w:top w:type="dxa" w:w="60"/>
              <w:left w:type="dxa" w:w="120"/>
              <w:bottom w:type="dxa" w:w="30"/>
              <w:right w:type="dxa" w:w="120"/>
            </w:tcMar>
          </w:tcPr>
          <w:p>
            <w:pPr>
              <w:spacing w:before="120" w:after="120" w:line="288" w:lineRule="auto"/>
              <w:ind w:left="0"/>
              <w:jc w:val="left"/>
            </w:pPr>
          </w:p>
        </w:tc>
        <w:tc>
          <w:tcPr>
            <w:tcW w:w="825" w:type="dxa"/>
            <w:hMerge w:val="continue"/>
            <w:tcMar>
              <w:top w:type="dxa" w:w="60"/>
              <w:left w:type="dxa" w:w="120"/>
              <w:bottom w:type="dxa" w:w="30"/>
              <w:right w:type="dxa" w:w="120"/>
            </w:tcMar>
          </w:tcPr>
          <w:p>
            <w:pPr>
              <w:spacing w:before="120" w:after="120" w:line="288" w:lineRule="auto"/>
              <w:ind w:left="0"/>
              <w:jc w:val="left"/>
            </w:pPr>
          </w:p>
        </w:tc>
        <w:tc>
          <w:tcPr>
            <w:tcW w:w="825" w:type="dxa"/>
            <w:hMerge w:val="continue"/>
            <w:tcMar>
              <w:top w:type="dxa" w:w="60"/>
              <w:left w:type="dxa" w:w="120"/>
              <w:bottom w:type="dxa" w:w="30"/>
              <w:right w:type="dxa" w:w="120"/>
            </w:tcMar>
          </w:tcPr>
          <w:p>
            <w:pPr>
              <w:spacing w:before="120" w:after="120" w:line="288" w:lineRule="auto"/>
              <w:ind w:left="0"/>
              <w:jc w:val="left"/>
            </w:pPr>
          </w:p>
        </w:tc>
        <w:tc>
          <w:tcPr>
            <w:tcW w:w="825" w:type="dxa"/>
            <w:hMerge w:val="continue"/>
            <w:tcMar>
              <w:top w:type="dxa" w:w="60"/>
              <w:left w:type="dxa" w:w="120"/>
              <w:bottom w:type="dxa" w:w="30"/>
              <w:right w:type="dxa" w:w="120"/>
            </w:tcMar>
          </w:tcPr>
          <w:p>
            <w:pPr>
              <w:spacing w:before="120" w:after="120" w:line="288" w:lineRule="auto"/>
              <w:ind w:left="0"/>
              <w:jc w:val="left"/>
            </w:pPr>
          </w:p>
        </w:tc>
        <w:tc>
          <w:tcPr>
            <w:tcW w:w="82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本次利废建材总废弃物实际掺量：12</w:t>
            </w:r>
            <w:r>
              <w:rPr>
                <w:rFonts w:eastAsia="等线" w:ascii="Arial" w:cs="Arial" w:hAnsi="Arial"/>
                <w:sz w:val="22"/>
              </w:rPr>
              <w:t>3262.5kg（再生骨料）+71904kg（再生砌块）+9650kg（粉煤灰</w:t>
            </w:r>
            <w:r>
              <w:rPr>
                <w:rFonts w:eastAsia="等线" w:ascii="Arial" w:cs="Arial" w:hAnsi="Arial"/>
                <w:sz w:val="22"/>
              </w:rPr>
              <w:t>）=204816.5kg；总利废建材用量：129750kg+102720kg+38600kg=2</w:t>
            </w:r>
            <w:r>
              <w:rPr>
                <w:rFonts w:eastAsia="等线" w:ascii="Arial" w:cs="Arial" w:hAnsi="Arial"/>
                <w:sz w:val="22"/>
              </w:rPr>
              <w:t>71070kg；综合废弃物掺量：204816.5÷271070×100%≈75.56%</w:t>
            </w:r>
          </w:p>
        </w:tc>
        <w:tc>
          <w:tcPr>
            <w:tcW w:w="82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所有数据经监理单位、建设单位联合审核</w:t>
            </w:r>
            <w:r>
              <w:rPr>
                <w:rFonts w:eastAsia="等线" w:ascii="Arial" w:cs="Arial" w:hAnsi="Arial"/>
                <w:sz w:val="22"/>
              </w:rPr>
              <w:t>确认</w:t>
            </w:r>
          </w:p>
        </w:tc>
      </w:tr>
    </w:tbl>
    <w:p>
      <w:pPr>
        <w:pStyle w:val="3"/>
        <w:spacing w:before="300" w:after="120" w:line="288" w:lineRule="auto"/>
        <w:ind w:left="0"/>
        <w:jc w:val="left"/>
        <w:outlineLvl w:val="2"/>
      </w:pPr>
      <w:bookmarkStart w:name="heading_8" w:id="8"/>
      <w:r>
        <w:rPr>
          <w:rFonts w:eastAsia="等线" w:ascii="Arial" w:cs="Arial" w:hAnsi="Arial"/>
          <w:b w:val="true"/>
          <w:sz w:val="30"/>
        </w:rPr>
        <w:t>补充说明</w:t>
      </w:r>
      <w:bookmarkEnd w:id="8"/>
    </w:p>
    <w:p>
      <w:pPr>
        <w:numPr>
          <w:numId w:val="16"/>
        </w:numPr>
        <w:spacing w:before="120" w:after="120" w:line="288" w:lineRule="auto"/>
        <w:ind w:left="0"/>
        <w:jc w:val="left"/>
      </w:pPr>
      <w:r>
        <w:rPr>
          <w:rFonts w:eastAsia="等线" w:ascii="Arial" w:cs="Arial" w:hAnsi="Arial"/>
          <w:sz w:val="22"/>
        </w:rPr>
        <w:t>本次核算的废弃物掺量，均扣除不可利用的杂质（如再生骨料中的泥土、粉煤灰中的杂物等），仅核算符合标准的可利用废弃物，确保数据精准，符合绿建评价核算要求。</w:t>
      </w:r>
    </w:p>
    <w:p>
      <w:pPr>
        <w:numPr>
          <w:numId w:val="17"/>
        </w:numPr>
        <w:spacing w:before="120" w:after="120" w:line="288" w:lineRule="auto"/>
        <w:ind w:left="0"/>
        <w:jc w:val="left"/>
      </w:pPr>
      <w:r>
        <w:rPr>
          <w:rFonts w:eastAsia="等线" w:ascii="Arial" w:cs="Arial" w:hAnsi="Arial"/>
          <w:sz w:val="22"/>
        </w:rPr>
        <w:t>所有利废建材的废弃物掺量，均经第三方检测机构（驻马店市建筑材料检测中心）检测确认，检测报告真实有效，可与本说明文档联动核查，检测数据与核算数据误差均在±1%范围内，符合行业规范。</w:t>
      </w:r>
    </w:p>
    <w:p>
      <w:pPr>
        <w:numPr>
          <w:numId w:val="18"/>
        </w:numPr>
        <w:spacing w:before="120" w:after="120" w:line="288" w:lineRule="auto"/>
        <w:ind w:left="0"/>
        <w:jc w:val="left"/>
      </w:pPr>
      <w:r>
        <w:rPr>
          <w:rFonts w:eastAsia="等线" w:ascii="Arial" w:cs="Arial" w:hAnsi="Arial"/>
          <w:sz w:val="22"/>
        </w:rPr>
        <w:t>本次工程利废建材综合废弃物掺量达75.56%，远高于绿建评价及政府投资工程对利废建材废弃物掺量的最低要求，充分体现了建筑垃圾资源化利用及节材环保的建设理念，可满足绿建评价“节材与材料资源利用”指标加分要求。</w:t>
      </w:r>
    </w:p>
    <w:p>
      <w:pPr>
        <w:pStyle w:val="2"/>
        <w:spacing w:before="320" w:after="120" w:line="288" w:lineRule="auto"/>
        <w:ind w:left="0"/>
        <w:jc w:val="left"/>
        <w:outlineLvl w:val="1"/>
      </w:pPr>
      <w:bookmarkStart w:name="heading_9" w:id="9"/>
      <w:r>
        <w:rPr>
          <w:rFonts w:eastAsia="等线" w:ascii="Arial" w:cs="Arial" w:hAnsi="Arial"/>
          <w:b w:val="true"/>
          <w:sz w:val="32"/>
        </w:rPr>
        <w:t>四、证明材料清单（真实有效，可追溯）</w:t>
      </w:r>
      <w:bookmarkEnd w:id="9"/>
    </w:p>
    <w:p>
      <w:pPr>
        <w:spacing w:before="120" w:after="120" w:line="288" w:lineRule="auto"/>
        <w:ind w:left="0"/>
        <w:jc w:val="left"/>
      </w:pPr>
      <w:r>
        <w:rPr>
          <w:rFonts w:eastAsia="等线" w:ascii="Arial" w:cs="Arial" w:hAnsi="Arial"/>
          <w:sz w:val="22"/>
        </w:rPr>
        <w:t>本次利废建材废弃物掺量相关证明材料，均为原件归档、复印件留存，与核算数据、深化设计、施工实际完全一致，可作为绿建评价核查的核心佐证材料，具体清单如下，所有材料均经建设单位、监理单位联合审核确认：</w:t>
      </w:r>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1035"/>
        <w:gridCol w:w="1035"/>
        <w:gridCol w:w="1035"/>
        <w:gridCol w:w="1035"/>
        <w:gridCol w:w="1035"/>
        <w:gridCol w:w="1035"/>
        <w:gridCol w:w="1035"/>
        <w:gridCol w:w="1035"/>
      </w:tblGrid>
      <w:tr>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序号</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证明材料名称</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材料编号/批次</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对应利废建材</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出具</w:t>
            </w:r>
            <w:r>
              <w:rPr>
                <w:rFonts w:eastAsia="等线" w:ascii="Arial" w:cs="Arial" w:hAnsi="Arial"/>
                <w:sz w:val="22"/>
              </w:rPr>
              <w:t>单位</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出具日期</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材料用途</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备注（可追溯</w:t>
            </w:r>
            <w:r>
              <w:rPr>
                <w:rFonts w:eastAsia="等线" w:ascii="Arial" w:cs="Arial" w:hAnsi="Arial"/>
                <w:sz w:val="22"/>
              </w:rPr>
              <w:t>说明）</w:t>
            </w:r>
          </w:p>
        </w:tc>
      </w:tr>
      <w:tr>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1</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建筑垃圾再生骨料检测报告</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JC-20240529-07</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建筑垃圾再生骨料</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驻马店市建筑材料检测中心</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2024年5月29日</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证明再生骨料废弃物掺量、材质、性能符合标准</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原件归档，复印件可用于绿建评价系统上传，</w:t>
            </w:r>
            <w:r>
              <w:rPr>
                <w:rFonts w:eastAsia="等线" w:ascii="Arial" w:cs="Arial" w:hAnsi="Arial"/>
                <w:sz w:val="22"/>
              </w:rPr>
              <w:t>可通过检测单位官网查询核验</w:t>
            </w:r>
          </w:p>
        </w:tc>
      </w:tr>
      <w:tr>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再生混凝土砌块检测报告</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JC-202</w:t>
            </w:r>
            <w:r>
              <w:rPr>
                <w:rFonts w:eastAsia="等线" w:ascii="Arial" w:cs="Arial" w:hAnsi="Arial"/>
                <w:sz w:val="22"/>
              </w:rPr>
              <w:t>40529-08</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再生混凝土砌块</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驻马店市建筑材料检测中心</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2024年5月29日</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证明再生砌块废弃物掺</w:t>
            </w:r>
            <w:r>
              <w:rPr>
                <w:rFonts w:eastAsia="等线" w:ascii="Arial" w:cs="Arial" w:hAnsi="Arial"/>
                <w:sz w:val="22"/>
              </w:rPr>
              <w:t>量、强度、外观质量符合要求</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与送检样品规格一致，检测数据可与核算数据联动核查</w:t>
            </w:r>
          </w:p>
        </w:tc>
      </w:tr>
      <w:tr>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3</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粉煤灰掺合砂浆检测报告</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JC-20240530-09</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粉煤灰掺合砂浆</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驻马店市建筑材料检测中心</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2024年5月30日</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证明砂浆中粉煤灰掺量、强度符合设计及行业标准</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包含砂浆配合比、粉煤灰掺量计算</w:t>
            </w:r>
            <w:r>
              <w:rPr>
                <w:rFonts w:eastAsia="等线" w:ascii="Arial" w:cs="Arial" w:hAnsi="Arial"/>
                <w:sz w:val="22"/>
              </w:rPr>
              <w:t>过程，可追溯</w:t>
            </w:r>
          </w:p>
        </w:tc>
      </w:tr>
      <w:tr>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4</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利废建材生产厂家资质证书</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ZZJZ-2023008、ZZJZ-2023012</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所有利废建材</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驻马店</w:t>
            </w:r>
            <w:r>
              <w:rPr>
                <w:rFonts w:eastAsia="等线" w:ascii="Arial" w:cs="Arial" w:hAnsi="Arial"/>
                <w:sz w:val="22"/>
              </w:rPr>
              <w:t>市XX建筑垃圾资源化利用有限公司、驻马店市XX新型建材</w:t>
            </w:r>
            <w:r>
              <w:rPr>
                <w:rFonts w:eastAsia="等线" w:ascii="Arial" w:cs="Arial" w:hAnsi="Arial"/>
                <w:sz w:val="22"/>
              </w:rPr>
              <w:t>有限公司</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2023年8月15日、2023年</w:t>
            </w:r>
            <w:r>
              <w:rPr>
                <w:rFonts w:eastAsia="等线" w:ascii="Arial" w:cs="Arial" w:hAnsi="Arial"/>
                <w:sz w:val="22"/>
              </w:rPr>
              <w:t>9月20日</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证明生产厂家具备利废</w:t>
            </w:r>
            <w:r>
              <w:rPr>
                <w:rFonts w:eastAsia="等线" w:ascii="Arial" w:cs="Arial" w:hAnsi="Arial"/>
                <w:sz w:val="22"/>
              </w:rPr>
              <w:t>建材生产资质，产品合法合规</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资质证书在有效期内，可通过驻马店市住建部门官网查询</w:t>
            </w:r>
          </w:p>
        </w:tc>
      </w:tr>
      <w:tr>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5</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利废建材产品合格证及掺量</w:t>
            </w:r>
            <w:r>
              <w:rPr>
                <w:rFonts w:eastAsia="等线" w:ascii="Arial" w:cs="Arial" w:hAnsi="Arial"/>
                <w:sz w:val="22"/>
              </w:rPr>
              <w:t>说明</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ZC-20240518、QB-20240520、SJ-2024</w:t>
            </w:r>
            <w:r>
              <w:rPr>
                <w:rFonts w:eastAsia="等线" w:ascii="Arial" w:cs="Arial" w:hAnsi="Arial"/>
                <w:sz w:val="22"/>
              </w:rPr>
              <w:t>0522</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所有利废建材</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对应生产厂家</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2024</w:t>
            </w:r>
            <w:r>
              <w:rPr>
                <w:rFonts w:eastAsia="等线" w:ascii="Arial" w:cs="Arial" w:hAnsi="Arial"/>
                <w:sz w:val="22"/>
              </w:rPr>
              <w:t>年5月18日、2024年5月20日、2024年5月22日</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证明产品合格，明确废弃物掺量标准及计算依据</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加盖厂家公章，与检测报告数据一致</w:t>
            </w:r>
          </w:p>
        </w:tc>
      </w:tr>
      <w:tr>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6</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现场取样见证记录</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JZ-JC-20240529、JZ-JC-20240530</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所有利废建材</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建设单位、监理单位、施工</w:t>
            </w:r>
            <w:r>
              <w:rPr>
                <w:rFonts w:eastAsia="等线" w:ascii="Arial" w:cs="Arial" w:hAnsi="Arial"/>
                <w:sz w:val="22"/>
              </w:rPr>
              <w:t>单位联合出具</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2024年5月29日、202</w:t>
            </w:r>
            <w:r>
              <w:rPr>
                <w:rFonts w:eastAsia="等线" w:ascii="Arial" w:cs="Arial" w:hAnsi="Arial"/>
                <w:sz w:val="22"/>
              </w:rPr>
              <w:t>4年5月30日</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证明取样过程规范</w:t>
            </w:r>
            <w:r>
              <w:rPr>
                <w:rFonts w:eastAsia="等线" w:ascii="Arial" w:cs="Arial" w:hAnsi="Arial"/>
                <w:sz w:val="22"/>
              </w:rPr>
              <w:t>、真实，检测样品具有代表性</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有三方签字确认，取样地点、数量、规格记录完整</w:t>
            </w:r>
          </w:p>
        </w:tc>
      </w:tr>
      <w:tr>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7</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建筑垃圾回收及加工记录</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HS-20240501-20240520</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建筑垃圾再生骨料、再生混凝土砌块</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驻马店市XX建筑垃圾资源化利用有限公司</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2024年5月1日-2024年5月20日</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证明建筑废弃物来源合法、加工过程规范，掺量</w:t>
            </w:r>
            <w:r>
              <w:rPr>
                <w:rFonts w:eastAsia="等线" w:ascii="Arial" w:cs="Arial" w:hAnsi="Arial"/>
                <w:sz w:val="22"/>
              </w:rPr>
              <w:t>可控</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包含回收单据、加工流程记录、质量检验</w:t>
            </w:r>
            <w:r>
              <w:rPr>
                <w:rFonts w:eastAsia="等线" w:ascii="Arial" w:cs="Arial" w:hAnsi="Arial"/>
                <w:sz w:val="22"/>
              </w:rPr>
              <w:t>记录</w:t>
            </w:r>
          </w:p>
        </w:tc>
      </w:tr>
      <w:tr>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8</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利废建材用量及掺量审核报告</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ZMD-BWG-LJ-LF-SH-20240626</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所有利废建材</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建设单位、监理单位、</w:t>
            </w:r>
            <w:r>
              <w:rPr>
                <w:rFonts w:eastAsia="等线" w:ascii="Arial" w:cs="Arial" w:hAnsi="Arial"/>
                <w:sz w:val="22"/>
              </w:rPr>
              <w:t>施工单位联合出具</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2024年6月</w:t>
            </w:r>
            <w:r>
              <w:rPr>
                <w:rFonts w:eastAsia="等线" w:ascii="Arial" w:cs="Arial" w:hAnsi="Arial"/>
                <w:sz w:val="22"/>
              </w:rPr>
              <w:t>26日</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证明利废建材用量、废弃物掺</w:t>
            </w:r>
            <w:r>
              <w:rPr>
                <w:rFonts w:eastAsia="等线" w:ascii="Arial" w:cs="Arial" w:hAnsi="Arial"/>
                <w:sz w:val="22"/>
              </w:rPr>
              <w:t>量核算准确，符合绿建要求</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加盖三方公章</w:t>
            </w:r>
            <w:r>
              <w:rPr>
                <w:rFonts w:eastAsia="等线" w:ascii="Arial" w:cs="Arial" w:hAnsi="Arial"/>
                <w:sz w:val="22"/>
              </w:rPr>
              <w:t>，审核人员签字确认，可作为绿建核查核心依据</w:t>
            </w:r>
          </w:p>
        </w:tc>
      </w:tr>
      <w:tr>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9</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粉煤灰检测报告（原料）</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FM-20240522</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粉煤灰掺合砂浆</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驻马店市建筑材料检测中心</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2024年5月22日</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证明粉煤灰（工业废弃物）质量符合掺合要求</w:t>
            </w:r>
          </w:p>
        </w:tc>
        <w:tc>
          <w:tcPr>
            <w:tcW w:w="1035"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与砂浆检测报告联动，可追溯粉煤灰来源及质量</w:t>
            </w:r>
          </w:p>
        </w:tc>
      </w:tr>
    </w:tbl>
    <w:p>
      <w:pPr>
        <w:pStyle w:val="2"/>
        <w:spacing w:before="320" w:after="120" w:line="288" w:lineRule="auto"/>
        <w:ind w:left="0"/>
        <w:jc w:val="left"/>
        <w:outlineLvl w:val="1"/>
      </w:pPr>
      <w:bookmarkStart w:name="heading_10" w:id="10"/>
      <w:r>
        <w:rPr>
          <w:rFonts w:eastAsia="等线" w:ascii="Arial" w:cs="Arial" w:hAnsi="Arial"/>
          <w:b w:val="true"/>
          <w:sz w:val="32"/>
        </w:rPr>
        <w:t>五、审核及验证说明</w:t>
      </w:r>
      <w:bookmarkEnd w:id="10"/>
    </w:p>
    <w:p>
      <w:pPr>
        <w:pStyle w:val="3"/>
        <w:spacing w:before="300" w:after="120" w:line="288" w:lineRule="auto"/>
        <w:ind w:left="0"/>
        <w:jc w:val="left"/>
        <w:outlineLvl w:val="2"/>
      </w:pPr>
      <w:bookmarkStart w:name="heading_11" w:id="11"/>
      <w:r>
        <w:rPr>
          <w:rFonts w:eastAsia="等线" w:ascii="Arial" w:cs="Arial" w:hAnsi="Arial"/>
          <w:b w:val="true"/>
          <w:sz w:val="30"/>
        </w:rPr>
        <w:t>（一）审核情况</w:t>
      </w:r>
      <w:bookmarkEnd w:id="11"/>
    </w:p>
    <w:p>
      <w:pPr>
        <w:spacing w:before="120" w:after="120" w:line="288" w:lineRule="auto"/>
        <w:ind w:left="0"/>
        <w:jc w:val="left"/>
      </w:pPr>
      <w:r>
        <w:rPr>
          <w:rFonts w:eastAsia="等线" w:ascii="Arial" w:cs="Arial" w:hAnsi="Arial"/>
          <w:sz w:val="22"/>
        </w:rPr>
        <w:t>本次利废建材废弃物掺量核算及证明材料梳理，由驻马店市建筑装饰工程有限公司技术部完成后，经建设单位（驻马店博物馆）、监理单位（驻马店市工程建设监理有限公司）联合审核，审核内容包括：核算依据、计算逻辑、废弃物掺量数据、证明材料真实性及完整性、与深化设计及施工实际的一致性等。审核结论为：核算依据充分、逻辑严谨、数据真实准确，证明材料完整有效、可追溯，完全符合《绿色建筑评价标准》及建筑垃圾资源化利用相关规定，审核合格，审核报告编号：ZMD-BWG-LJ-LF-SH-20240626，审核人员签字确认。</w:t>
      </w:r>
    </w:p>
    <w:p>
      <w:pPr>
        <w:pStyle w:val="3"/>
        <w:spacing w:before="300" w:after="120" w:line="288" w:lineRule="auto"/>
        <w:ind w:left="0"/>
        <w:jc w:val="left"/>
        <w:outlineLvl w:val="2"/>
      </w:pPr>
      <w:bookmarkStart w:name="heading_12" w:id="12"/>
      <w:r>
        <w:rPr>
          <w:rFonts w:eastAsia="等线" w:ascii="Arial" w:cs="Arial" w:hAnsi="Arial"/>
          <w:b w:val="true"/>
          <w:sz w:val="30"/>
        </w:rPr>
        <w:t>（二）数据验证说明</w:t>
      </w:r>
      <w:bookmarkEnd w:id="12"/>
    </w:p>
    <w:p>
      <w:pPr>
        <w:spacing w:before="120" w:after="120" w:line="288" w:lineRule="auto"/>
        <w:ind w:left="0"/>
        <w:jc w:val="left"/>
      </w:pPr>
      <w:r>
        <w:rPr>
          <w:rFonts w:eastAsia="等线" w:ascii="Arial" w:cs="Arial" w:hAnsi="Arial"/>
          <w:sz w:val="22"/>
        </w:rPr>
        <w:t>本次核算的所有废弃物掺量数据，均经三重验证，确保真实可追溯：1. 生产厂家自检：厂家对每批次利废建材进行废弃物掺量检测，出具自检报告；2. 第三方检测：驻马店市建筑材料检测中心对现场取样进行见证检测，检测数据与厂家自检数据一致；3. 现场验证：监理单位、建设单位对利废建材使用过程进行全程见证，核对用量及掺量，确保与核算数据一致。所有验证记录、检测报告均留存归档，可随时用于绿建评价核查。</w:t>
      </w:r>
    </w:p>
    <w:p>
      <w:pPr>
        <w:pStyle w:val="2"/>
        <w:spacing w:before="320" w:after="120" w:line="288" w:lineRule="auto"/>
        <w:ind w:left="0"/>
        <w:jc w:val="left"/>
        <w:outlineLvl w:val="1"/>
      </w:pPr>
      <w:bookmarkStart w:name="heading_13" w:id="13"/>
      <w:r>
        <w:rPr>
          <w:rFonts w:eastAsia="等线" w:ascii="Arial" w:cs="Arial" w:hAnsi="Arial"/>
          <w:b w:val="true"/>
          <w:sz w:val="32"/>
        </w:rPr>
        <w:t>六、归档及使用说明</w:t>
      </w:r>
      <w:bookmarkEnd w:id="13"/>
    </w:p>
    <w:p>
      <w:pPr>
        <w:numPr>
          <w:numId w:val="19"/>
        </w:numPr>
        <w:spacing w:before="120" w:after="120" w:line="288" w:lineRule="auto"/>
        <w:ind w:left="0"/>
        <w:jc w:val="left"/>
      </w:pPr>
      <w:r>
        <w:rPr>
          <w:rFonts w:eastAsia="等线" w:ascii="Arial" w:cs="Arial" w:hAnsi="Arial"/>
          <w:sz w:val="22"/>
        </w:rPr>
        <w:t>本说明文档及相关证明材料一式6份，建设单位、施工单位、监理单位、绿建评价验收单位、档案管理单位、核算单位各留存1份，与关联文档（深化设计图说明、材料送检报告、工程量清单、审核记录）同步归档。</w:t>
      </w:r>
    </w:p>
    <w:p>
      <w:pPr>
        <w:numPr>
          <w:numId w:val="20"/>
        </w:numPr>
        <w:spacing w:before="120" w:after="120" w:line="288" w:lineRule="auto"/>
        <w:ind w:left="0"/>
        <w:jc w:val="left"/>
      </w:pPr>
      <w:r>
        <w:rPr>
          <w:rFonts w:eastAsia="等线" w:ascii="Arial" w:cs="Arial" w:hAnsi="Arial"/>
          <w:sz w:val="22"/>
        </w:rPr>
        <w:t>归档方式：采用纸质文档+电子文档双重归档，电子文档同步上传至驻马店市绿建评价影像归档系统，与关联文档联动管理，归档期限≥15年，便于后续核查、查阅。</w:t>
      </w:r>
    </w:p>
    <w:p>
      <w:pPr>
        <w:numPr>
          <w:numId w:val="21"/>
        </w:numPr>
        <w:spacing w:before="120" w:after="120" w:line="288" w:lineRule="auto"/>
        <w:ind w:left="0"/>
        <w:jc w:val="left"/>
      </w:pPr>
      <w:r>
        <w:rPr>
          <w:rFonts w:eastAsia="等线" w:ascii="Arial" w:cs="Arial" w:hAnsi="Arial"/>
          <w:sz w:val="22"/>
        </w:rPr>
        <w:t>本说明文档及证明材料，作为驻马店博物馆绿建评价“节材与材料资源利用”指标核查的核心佐证材料，主要用于绿建评价系统中利废建材废弃物掺量相关信息的填报及核查，相关数据可通过绿建评价系统在线核验，同时可作为工程环保验收、节材效果评估的重要依据。</w:t>
      </w:r>
    </w:p>
    <w:p>
      <w:pPr>
        <w:numPr>
          <w:numId w:val="22"/>
        </w:numPr>
        <w:spacing w:before="120" w:after="120" w:line="288" w:lineRule="auto"/>
        <w:ind w:left="0"/>
        <w:jc w:val="left"/>
      </w:pPr>
      <w:r>
        <w:rPr>
          <w:rFonts w:eastAsia="等线" w:ascii="Arial" w:cs="Arial" w:hAnsi="Arial"/>
          <w:sz w:val="22"/>
        </w:rPr>
        <w:t>若因施工变更、利废建材替换导致废弃物掺量发生变化，需重新核算，出具补充说明文档及补充证明材料，同步更新至绿建评价相关文档，确保数据一致性，补充说明文档编号与本文档编号联动（ZMD-BWG-LJ-LF-2025001-变更X）。</w:t>
      </w:r>
    </w:p>
    <w:p>
      <w:pPr>
        <w:pStyle w:val="2"/>
        <w:spacing w:before="320" w:after="120" w:line="288" w:lineRule="auto"/>
        <w:ind w:left="0"/>
        <w:jc w:val="left"/>
        <w:outlineLvl w:val="1"/>
      </w:pPr>
      <w:bookmarkStart w:name="heading_14" w:id="14"/>
      <w:r>
        <w:rPr>
          <w:rFonts w:eastAsia="等线" w:ascii="Arial" w:cs="Arial" w:hAnsi="Arial"/>
          <w:b w:val="true"/>
          <w:sz w:val="32"/>
        </w:rPr>
        <w:t>七、签字确认</w:t>
      </w:r>
      <w:bookmarkEnd w:id="14"/>
    </w:p>
    <w:tbl>
      <w:tblPr>
        <w:tblW w:w="0" w:type="auto"/>
        <w:tblInd w:w="0" w:type="dxa"/>
        <w:tblBorders>
          <w:top w:val="single" w:color="dee0e3"/>
          <w:left w:val="single" w:color="dee0e3"/>
          <w:bottom w:val="single" w:color="dee0e3"/>
          <w:right w:val="single" w:color="dee0e3"/>
          <w:insideH w:val="single" w:color="dee0e3"/>
          <w:insideV w:val="single" w:color="dee0e3"/>
        </w:tblBorders>
        <w:tblLayout w:type="fixed"/>
      </w:tblPr>
      <w:tblGrid>
        <w:gridCol w:w="2760"/>
        <w:gridCol w:w="2760"/>
        <w:gridCol w:w="2760"/>
      </w:tblGrid>
      <w:tr>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建设单位（盖章）：驻马店博物馆</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负责人（签字）：陈XX</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确认日期：2024年6月30日</w:t>
            </w:r>
          </w:p>
        </w:tc>
      </w:tr>
      <w:tr>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施工单位（盖章）：驻马店市建筑装饰工程有限公司</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技术负责人（签字）：张XX</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确认日期：2024年6月30日</w:t>
            </w:r>
          </w:p>
        </w:tc>
      </w:tr>
      <w:tr>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监理单位（盖章）：驻马店市工程建设监理有限公司</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总监理工程师（签字）：刘XX</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确认日期：2024年6月30日</w:t>
            </w:r>
          </w:p>
        </w:tc>
      </w:tr>
      <w:tr>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核算单位（盖章）：驻马店市建筑装饰工程有限公司技术部</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核算负责人（签字）：赵XX</w:t>
            </w:r>
          </w:p>
        </w:tc>
        <w:tc>
          <w:tcPr>
            <w:tcW w:w="2760" w:type="dxa"/>
            <w:tcMar>
              <w:top w:type="dxa" w:w="60"/>
              <w:left w:type="dxa" w:w="120"/>
              <w:bottom w:type="dxa" w:w="30"/>
              <w:right w:type="dxa" w:w="120"/>
            </w:tcMar>
          </w:tcPr>
          <w:p>
            <w:pPr>
              <w:spacing w:before="120" w:after="120" w:line="288" w:lineRule="auto"/>
              <w:ind w:left="0"/>
              <w:jc w:val="left"/>
            </w:pPr>
            <w:r>
              <w:rPr>
                <w:rFonts w:eastAsia="等线" w:ascii="Arial" w:cs="Arial" w:hAnsi="Arial"/>
                <w:sz w:val="22"/>
              </w:rPr>
              <w:t>确认日期：2024年6月26日</w:t>
            </w:r>
          </w:p>
        </w:tc>
      </w:tr>
    </w:tbl>
    <w:p>
      <w:pPr>
        <w:spacing w:before="120" w:after="120" w:line="288" w:lineRule="auto"/>
        <w:ind w:left="0"/>
        <w:jc w:val="left"/>
      </w:pPr>
      <w:r>
        <w:rPr>
          <w:rFonts w:eastAsia="等线" w:ascii="Arial" w:cs="Arial" w:hAnsi="Arial"/>
          <w:sz w:val="22"/>
        </w:rPr>
        <w:t>备注：本说明文档及相关证明材料自签字盖章之日起生效，具有同等法律效力，所有数据及材料真实、准确、完整、可追溯，与深化设计图纸、材料送检报告、施工实际完全一致，符合绿建评价及政府投资工程建筑垃圾资源化利用相关要求，可作为驻马店博物馆绿建评价系统核查的核心依据；如有异议，可联动核查相关原始资料、检测报告、现场见证记录及审核记录。</w:t>
      </w:r>
    </w:p>
    <w:p>
      <w:pPr>
        <w:spacing w:before="120" w:after="120" w:line="288" w:lineRule="auto"/>
        <w:ind w:left="0"/>
        <w:jc w:val="left"/>
      </w:pPr>
      <w:r>
        <w:rPr>
          <w:rFonts w:eastAsia="等线" w:ascii="Arial" w:cs="Arial" w:hAnsi="Arial"/>
          <w:sz w:val="22"/>
        </w:rPr>
        <w:t>|（注：文档部分内容可能由 AI 生成)</w:t>
      </w:r>
    </w:p>
    <w:sectPr>
      <w:footerReference w:type="default" r:id="rId3"/>
      <w:headerReference w:type="default" r:id="rId5"/>
      <w:pgSz w:orient="portrait" w:h="16840" w:w="11905"/>
    </w:sectPr>
  </w:body>
</w:document>
</file>

<file path=word/footer1.xml><?xml version="1.0" encoding="utf-8"?>
<w:ftr xmlns:w="http://schemas.openxmlformats.org/wordprocessingml/2006/main">
  <w:p/>
</w:ftr>
</file>

<file path=word/header1.xml><?xml version="1.0" encoding="utf-8"?>
<w:hdr xmlns:w="http://schemas.openxmlformats.org/wordprocessingml/2006/main">
  <w:p/>
</w:hdr>
</file>

<file path=word/numbering.xml><?xml version="1.0" encoding="utf-8"?>
<w:numbering xmlns:w="http://schemas.openxmlformats.org/wordprocessingml/2006/main">
  <w:abstractNum w:abstractNumId="5325208">
    <w:lvl>
      <w:start w:val="1"/>
      <w:numFmt w:val="decimal"/>
      <w:suff w:val="tab"/>
      <w:lvlText w:val="%1."/>
      <w:rPr>
        <w:color w:val="3370ff"/>
      </w:rPr>
    </w:lvl>
  </w:abstractNum>
  <w:abstractNum w:abstractNumId="5325209">
    <w:lvl>
      <w:start w:val="2"/>
      <w:numFmt w:val="decimal"/>
      <w:suff w:val="tab"/>
      <w:lvlText w:val="%1."/>
      <w:rPr>
        <w:color w:val="3370ff"/>
      </w:rPr>
    </w:lvl>
  </w:abstractNum>
  <w:abstractNum w:abstractNumId="5325210">
    <w:lvl>
      <w:start w:val="3"/>
      <w:numFmt w:val="decimal"/>
      <w:suff w:val="tab"/>
      <w:lvlText w:val="%1."/>
      <w:rPr>
        <w:color w:val="3370ff"/>
      </w:rPr>
    </w:lvl>
  </w:abstractNum>
  <w:abstractNum w:abstractNumId="5325211">
    <w:lvl>
      <w:start w:val="1"/>
      <w:numFmt w:val="decimal"/>
      <w:suff w:val="tab"/>
      <w:lvlText w:val="%1."/>
      <w:rPr>
        <w:color w:val="3370ff"/>
      </w:rPr>
    </w:lvl>
  </w:abstractNum>
  <w:abstractNum w:abstractNumId="5325212">
    <w:lvl>
      <w:start w:val="2"/>
      <w:numFmt w:val="decimal"/>
      <w:suff w:val="tab"/>
      <w:lvlText w:val="%1."/>
      <w:rPr>
        <w:color w:val="3370ff"/>
      </w:rPr>
    </w:lvl>
  </w:abstractNum>
  <w:abstractNum w:abstractNumId="5325213">
    <w:lvl>
      <w:start w:val="3"/>
      <w:numFmt w:val="decimal"/>
      <w:suff w:val="tab"/>
      <w:lvlText w:val="%1."/>
      <w:rPr>
        <w:color w:val="3370ff"/>
      </w:rPr>
    </w:lvl>
  </w:abstractNum>
  <w:abstractNum w:abstractNumId="5325214">
    <w:lvl>
      <w:start w:val="4"/>
      <w:numFmt w:val="decimal"/>
      <w:suff w:val="tab"/>
      <w:lvlText w:val="%1."/>
      <w:rPr>
        <w:color w:val="3370ff"/>
      </w:rPr>
    </w:lvl>
  </w:abstractNum>
  <w:abstractNum w:abstractNumId="5325215">
    <w:lvl>
      <w:start w:val="5"/>
      <w:numFmt w:val="decimal"/>
      <w:suff w:val="tab"/>
      <w:lvlText w:val="%1."/>
      <w:rPr>
        <w:color w:val="3370ff"/>
      </w:rPr>
    </w:lvl>
  </w:abstractNum>
  <w:abstractNum w:abstractNumId="5325216">
    <w:lvl>
      <w:start w:val="6"/>
      <w:numFmt w:val="decimal"/>
      <w:suff w:val="tab"/>
      <w:lvlText w:val="%1."/>
      <w:rPr>
        <w:color w:val="3370ff"/>
      </w:rPr>
    </w:lvl>
  </w:abstractNum>
  <w:abstractNum w:abstractNumId="5325217">
    <w:lvl>
      <w:start w:val="7"/>
      <w:numFmt w:val="decimal"/>
      <w:suff w:val="tab"/>
      <w:lvlText w:val="%1."/>
      <w:rPr>
        <w:color w:val="3370ff"/>
      </w:rPr>
    </w:lvl>
  </w:abstractNum>
  <w:abstractNum w:abstractNumId="5325218">
    <w:lvl>
      <w:start w:val="8"/>
      <w:numFmt w:val="decimal"/>
      <w:suff w:val="tab"/>
      <w:lvlText w:val="%1."/>
      <w:rPr>
        <w:color w:val="3370ff"/>
      </w:rPr>
    </w:lvl>
  </w:abstractNum>
  <w:abstractNum w:abstractNumId="5325219">
    <w:lvl>
      <w:start w:val="9"/>
      <w:numFmt w:val="decimal"/>
      <w:suff w:val="tab"/>
      <w:lvlText w:val="%1."/>
      <w:rPr>
        <w:color w:val="3370ff"/>
      </w:rPr>
    </w:lvl>
  </w:abstractNum>
  <w:abstractNum w:abstractNumId="5325220">
    <w:lvl>
      <w:start w:val="1"/>
      <w:numFmt w:val="decimal"/>
      <w:suff w:val="tab"/>
      <w:lvlText w:val="%1."/>
      <w:rPr>
        <w:color w:val="3370ff"/>
      </w:rPr>
    </w:lvl>
  </w:abstractNum>
  <w:abstractNum w:abstractNumId="5325221">
    <w:lvl>
      <w:start w:val="2"/>
      <w:numFmt w:val="decimal"/>
      <w:suff w:val="tab"/>
      <w:lvlText w:val="%1."/>
      <w:rPr>
        <w:color w:val="3370ff"/>
      </w:rPr>
    </w:lvl>
  </w:abstractNum>
  <w:abstractNum w:abstractNumId="5325222">
    <w:lvl>
      <w:start w:val="3"/>
      <w:numFmt w:val="decimal"/>
      <w:suff w:val="tab"/>
      <w:lvlText w:val="%1."/>
      <w:rPr>
        <w:color w:val="3370ff"/>
      </w:rPr>
    </w:lvl>
  </w:abstractNum>
  <w:abstractNum w:abstractNumId="5325223">
    <w:lvl>
      <w:start w:val="1"/>
      <w:numFmt w:val="decimal"/>
      <w:suff w:val="tab"/>
      <w:lvlText w:val="%1."/>
      <w:rPr>
        <w:color w:val="3370ff"/>
      </w:rPr>
    </w:lvl>
  </w:abstractNum>
  <w:abstractNum w:abstractNumId="5325224">
    <w:lvl>
      <w:start w:val="2"/>
      <w:numFmt w:val="decimal"/>
      <w:suff w:val="tab"/>
      <w:lvlText w:val="%1."/>
      <w:rPr>
        <w:color w:val="3370ff"/>
      </w:rPr>
    </w:lvl>
  </w:abstractNum>
  <w:abstractNum w:abstractNumId="5325225">
    <w:lvl>
      <w:start w:val="3"/>
      <w:numFmt w:val="decimal"/>
      <w:suff w:val="tab"/>
      <w:lvlText w:val="%1."/>
      <w:rPr>
        <w:color w:val="3370ff"/>
      </w:rPr>
    </w:lvl>
  </w:abstractNum>
  <w:abstractNum w:abstractNumId="5325226">
    <w:lvl>
      <w:start w:val="1"/>
      <w:numFmt w:val="decimal"/>
      <w:suff w:val="tab"/>
      <w:lvlText w:val="%1."/>
      <w:rPr>
        <w:color w:val="3370ff"/>
      </w:rPr>
    </w:lvl>
  </w:abstractNum>
  <w:abstractNum w:abstractNumId="5325227">
    <w:lvl>
      <w:start w:val="2"/>
      <w:numFmt w:val="decimal"/>
      <w:suff w:val="tab"/>
      <w:lvlText w:val="%1."/>
      <w:rPr>
        <w:color w:val="3370ff"/>
      </w:rPr>
    </w:lvl>
  </w:abstractNum>
  <w:abstractNum w:abstractNumId="5325228">
    <w:lvl>
      <w:start w:val="3"/>
      <w:numFmt w:val="decimal"/>
      <w:suff w:val="tab"/>
      <w:lvlText w:val="%1."/>
      <w:rPr>
        <w:color w:val="3370ff"/>
      </w:rPr>
    </w:lvl>
  </w:abstractNum>
  <w:abstractNum w:abstractNumId="5325229">
    <w:lvl>
      <w:start w:val="4"/>
      <w:numFmt w:val="decimal"/>
      <w:suff w:val="tab"/>
      <w:lvlText w:val="%1."/>
      <w:rPr>
        <w:color w:val="3370ff"/>
      </w:rPr>
    </w:lvl>
  </w:abstractNum>
  <w:num w:numId="1">
    <w:abstractNumId w:val="5325208"/>
  </w:num>
  <w:num w:numId="2">
    <w:abstractNumId w:val="5325209"/>
  </w:num>
  <w:num w:numId="3">
    <w:abstractNumId w:val="5325210"/>
  </w:num>
  <w:num w:numId="4">
    <w:abstractNumId w:val="5325211"/>
  </w:num>
  <w:num w:numId="5">
    <w:abstractNumId w:val="5325212"/>
  </w:num>
  <w:num w:numId="6">
    <w:abstractNumId w:val="5325213"/>
  </w:num>
  <w:num w:numId="7">
    <w:abstractNumId w:val="5325214"/>
  </w:num>
  <w:num w:numId="8">
    <w:abstractNumId w:val="5325215"/>
  </w:num>
  <w:num w:numId="9">
    <w:abstractNumId w:val="5325216"/>
  </w:num>
  <w:num w:numId="10">
    <w:abstractNumId w:val="5325217"/>
  </w:num>
  <w:num w:numId="11">
    <w:abstractNumId w:val="5325218"/>
  </w:num>
  <w:num w:numId="12">
    <w:abstractNumId w:val="5325219"/>
  </w:num>
  <w:num w:numId="13">
    <w:abstractNumId w:val="5325220"/>
  </w:num>
  <w:num w:numId="14">
    <w:abstractNumId w:val="5325221"/>
  </w:num>
  <w:num w:numId="15">
    <w:abstractNumId w:val="5325222"/>
  </w:num>
  <w:num w:numId="16">
    <w:abstractNumId w:val="5325223"/>
  </w:num>
  <w:num w:numId="17">
    <w:abstractNumId w:val="5325224"/>
  </w:num>
  <w:num w:numId="18">
    <w:abstractNumId w:val="5325225"/>
  </w:num>
  <w:num w:numId="19">
    <w:abstractNumId w:val="5325226"/>
  </w:num>
  <w:num w:numId="20">
    <w:abstractNumId w:val="5325227"/>
  </w:num>
  <w:num w:numId="21">
    <w:abstractNumId w:val="5325228"/>
  </w:num>
  <w:num w:numId="22">
    <w:abstractNumId w:val="5325229"/>
  </w:num>
</w:numbering>
</file>

<file path=word/settings.xml><?xml version="1.0" encoding="utf-8"?>
<w:settings xmlns:w="http://schemas.openxmlformats.org/wordprocessingml/2006/main"/>
</file>

<file path=word/styles.xml><?xml version="1.0" encoding="utf-8"?>
<w:styles xmlns:w="http://schemas.openxmlformats.org/wordprocessingml/2006/main"/>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styles.xml" Type="http://schemas.openxmlformats.org/officeDocument/2006/relationships/styles"/><Relationship Id="rId3" Target="footer1.xml" Type="http://schemas.openxmlformats.org/officeDocument/2006/relationships/footer"/><Relationship Id="rId4" Target="numbering.xml" Type="http://schemas.openxmlformats.org/officeDocument/2006/relationships/numbering"/><Relationship Id="rId5" Target="header1.xml" Type="http://schemas.openxmlformats.org/officeDocument/2006/relationships/header"/></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2026-03-28T05:21:02Z</dcterms:created>
  <dc:creator>Apache POI</dc:creator>
</cp:coreProperties>
</file>