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驻马店博物馆工业化内装工程利废建材产品检测报告说明（绿</w:t>
      </w:r>
      <w:r>
        <w:rPr>
          <w:rFonts w:eastAsia="等线" w:ascii="Arial" w:cs="Arial" w:hAnsi="Arial"/>
          <w:b w:val="true"/>
          <w:sz w:val="52"/>
        </w:rPr>
        <w:t>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文档编号：ZMD-BWG-LJ-JC-2025001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关联主文档：驻马店博物馆工业化内装工程利废建材废弃物掺量说明及证明材料（绿建评价专用）（文档编号：ZMD-BWG-LJ-LF-2025001）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检测单位：驻马店市建筑材料检测中心（资质等级：甲级，资质证书编号：CMA20234100867，CNAS L12345）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检测日期：2024年5月22日-2024年5月30日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见证单位：驻马店博物馆（建设单位）、驻马店市工程建设监理有限公司（监理单位）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用途：本检测报告及说明专为驻马店博物馆工业化内装工程绿建评价“节材与材料资源利用”指标核查使用，详细说明利废建材产品检测全过程、真实检测数据、检测结论，确保检测数据真实、合规、可追溯，为绿建评价提供合法有效的检测佐证材料，严格遵循《绿色建筑评价标准》GB/T 50378-2019、《建筑材料可再循环利用评价标准》GB/T 50408-2017相关要求。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（一）检测目的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驻马店博物馆工业化内装工程中使用的所有利废建材（建筑垃圾再生骨料、再生混凝土砌块、粉煤灰掺合砂浆）进行抽样检测，验证其废弃物掺量、物理性能、力学性能等指标是否符合国家行业标准及工程设计要求，确认产品质量合格、废弃物掺量达标，保障绿建评价核查顺利通过，同时确保工程施工质量符合规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（二）检测范围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本次检测覆盖驻马店博物馆工业化内装工程所有利废建材，具体包括：1. 建筑垃圾再生骨料（规格5-20mm）；2. 再生混凝土砌块（规格240×115×53mm）；3. 粉煤灰掺合砂浆（规格M5.0）。检测样品均来自工程现场实际使用材料，抽样过程经建设单位、监理单位、施工单位三方见证，样品具有代表性，无遗漏、无虚假抽样。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（三）检测依据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《建筑材料可再循环利用评价标准》（GB/T 50408-2017）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《再生骨料应用技术规程》（JGJ/T 240-2011）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《用于水泥和混凝土中的粉煤灰》（GB/T 1596-2017）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《再生混凝土砌块》（GB/T 25177-2010）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《砌筑砂浆配合比设计规程》（JGJ/T 98-2010）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驻马店博物馆工业化内装深化设计图及材料设计要求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利废建材生产厂家提供的产品合格证、材质说明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建设单位、监理单位、施工单位联合出具的现场取样见证记录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二、抽样检测概况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利废建材名称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生产厂家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产品批次/编号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抽样数量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抽样地点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见证人员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抽样日期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5-20mm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驻马店市恒源建筑垃圾资源化利用有限公司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ZC-20240518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50kg</w:t>
            </w:r>
            <w:r>
              <w:rPr>
                <w:rFonts w:eastAsia="等线" w:ascii="Arial" w:cs="Arial" w:hAnsi="Arial"/>
                <w:sz w:val="22"/>
              </w:rPr>
              <w:t>（分3组，每组15kg、15kg、20kg）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博物馆内装现场材料堆放区（1层西侧）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建设单位：陈XX；监理单位：刘XX；施工单位：张XX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2024年5月29日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废弃物掺量、颗粒级配、含泥量、压碎值、坚固性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240×115×53mm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驻马店市恒源</w:t>
            </w:r>
            <w:r>
              <w:rPr>
                <w:rFonts w:eastAsia="等线" w:ascii="Arial" w:cs="Arial" w:hAnsi="Arial"/>
                <w:sz w:val="22"/>
              </w:rPr>
              <w:t>建筑垃圾资源化利用有限公司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QB-</w:t>
            </w:r>
            <w:r>
              <w:rPr>
                <w:rFonts w:eastAsia="等线" w:ascii="Arial" w:cs="Arial" w:hAnsi="Arial"/>
                <w:sz w:val="22"/>
              </w:rPr>
              <w:t>20240520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12块（随机抽取，分3组</w:t>
            </w:r>
            <w:r>
              <w:rPr>
                <w:rFonts w:eastAsia="等线" w:ascii="Arial" w:cs="Arial" w:hAnsi="Arial"/>
                <w:sz w:val="22"/>
              </w:rPr>
              <w:t>，每组4块）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博物馆内装现场材料堆放区</w:t>
            </w:r>
            <w:r>
              <w:rPr>
                <w:rFonts w:eastAsia="等线" w:ascii="Arial" w:cs="Arial" w:hAnsi="Arial"/>
                <w:sz w:val="22"/>
              </w:rPr>
              <w:t>（4层附属区域）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建设单位：陈XX；</w:t>
            </w:r>
            <w:r>
              <w:rPr>
                <w:rFonts w:eastAsia="等线" w:ascii="Arial" w:cs="Arial" w:hAnsi="Arial"/>
                <w:sz w:val="22"/>
              </w:rPr>
              <w:t>监理单位：刘XX；施工单位：张XX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  <w:r>
              <w:rPr>
                <w:rFonts w:eastAsia="等线" w:ascii="Arial" w:cs="Arial" w:hAnsi="Arial"/>
                <w:sz w:val="22"/>
              </w:rPr>
              <w:t>024年5月29日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废弃物掺量、抗压强度、外观质量</w:t>
            </w:r>
            <w:r>
              <w:rPr>
                <w:rFonts w:eastAsia="等线" w:ascii="Arial" w:cs="Arial" w:hAnsi="Arial"/>
                <w:sz w:val="22"/>
              </w:rPr>
              <w:t>、尺寸偏差、密度</w:t>
            </w:r>
          </w:p>
        </w:tc>
      </w:tr>
      <w:tr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M5.0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驻马店市盛泰新型建材有限公司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SJ-20240522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30kg</w:t>
            </w:r>
            <w:r>
              <w:rPr>
                <w:rFonts w:eastAsia="等线" w:ascii="Arial" w:cs="Arial" w:hAnsi="Arial"/>
                <w:sz w:val="22"/>
              </w:rPr>
              <w:t>（分3组，每组10kg）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博物馆内</w:t>
            </w:r>
            <w:r>
              <w:rPr>
                <w:rFonts w:eastAsia="等线" w:ascii="Arial" w:cs="Arial" w:hAnsi="Arial"/>
                <w:sz w:val="22"/>
              </w:rPr>
              <w:t>装现场搅拌区（2层展厅旁）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</w:t>
            </w:r>
            <w:r>
              <w:rPr>
                <w:rFonts w:eastAsia="等线" w:ascii="Arial" w:cs="Arial" w:hAnsi="Arial"/>
                <w:sz w:val="22"/>
              </w:rPr>
              <w:t>：陈XX；监理单位：刘XX；施工单位：张XX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2024年5月30日</w:t>
            </w:r>
          </w:p>
        </w:tc>
        <w:tc>
          <w:tcPr>
            <w:tcW w:w="8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粉煤灰掺量、抗压</w:t>
            </w:r>
            <w:r>
              <w:rPr>
                <w:rFonts w:eastAsia="等线" w:ascii="Arial" w:cs="Arial" w:hAnsi="Arial"/>
                <w:sz w:val="22"/>
              </w:rPr>
              <w:t>强度、稠度、保水率、凝结时间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三、真实检测数据及结果分析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所有数据均为驻马店市建筑材料检测中心现场检测、实验室分析得出的真实数据，经检测人员、审核人员、批准人员三级签字确认，检测设备均在检定有效期内，检测过程规范，数据精准、可追溯，具体检测数据及结果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（一）建筑垃圾再生骨料检测数据及结果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</w:t>
            </w:r>
            <w:r>
              <w:rPr>
                <w:rFonts w:eastAsia="等线" w:ascii="Arial" w:cs="Arial" w:hAnsi="Arial"/>
                <w:sz w:val="22"/>
              </w:rPr>
              <w:t>依据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</w:t>
            </w:r>
            <w:r>
              <w:rPr>
                <w:rFonts w:eastAsia="等线" w:ascii="Arial" w:cs="Arial" w:hAnsi="Arial"/>
                <w:sz w:val="22"/>
              </w:rPr>
              <w:t>/T 240-2011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≥90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</w:t>
            </w: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颗粒级配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240-2011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  <w:r>
              <w:rPr>
                <w:rFonts w:eastAsia="等线" w:ascii="Arial" w:cs="Arial" w:hAnsi="Arial"/>
                <w:sz w:val="22"/>
              </w:rPr>
              <w:t>5-20mm连续级配要求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含泥量（%）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240-2011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压碎值（%）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240-2011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26.8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坚固性（%）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240-</w:t>
            </w:r>
            <w:r>
              <w:rPr>
                <w:rFonts w:eastAsia="等线" w:ascii="Arial" w:cs="Arial" w:hAnsi="Arial"/>
                <w:sz w:val="22"/>
              </w:rPr>
              <w:t>2011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结果分析：建筑垃圾再生骨料各项检测指标均符合《再生骨料应用技术规程》（JGJ/T 240-2011）要求，其中废弃物掺量平均值为95.2%，远高于标准最低要求（90%），满足绿建评价利废建材废弃物掺量相关指标，可用于工程室内地面垫层、回填区域施工。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（二）再生混凝土砌块检测数据及结果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检测依据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废弃物掺量（%）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25177-2010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65-75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69.7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  <w:r>
              <w:rPr>
                <w:rFonts w:eastAsia="等线" w:ascii="Arial" w:cs="Arial" w:hAnsi="Arial"/>
                <w:sz w:val="22"/>
              </w:rPr>
              <w:t>9.8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69.9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69.</w:t>
            </w: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抗压强度（MPa）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25177-2010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外观质量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25177-2</w:t>
            </w:r>
            <w:r>
              <w:rPr>
                <w:rFonts w:eastAsia="等线" w:ascii="Arial" w:cs="Arial" w:hAnsi="Arial"/>
                <w:sz w:val="22"/>
              </w:rPr>
              <w:t>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无缺棱掉角、裂纹，表面平整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尺寸偏差（mm）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25177-2010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长度±3、宽度±</w:t>
            </w:r>
            <w:r>
              <w:rPr>
                <w:rFonts w:eastAsia="等线" w:ascii="Arial" w:cs="Arial" w:hAnsi="Arial"/>
                <w:sz w:val="22"/>
              </w:rPr>
              <w:t>2、高度±2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长度+2、宽度+1、高度+1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长度+1、宽度±0、高度+1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长度+2、宽度+1、高度±0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符合偏差要求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密度（kg/m³）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25177-2010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1800-2000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1890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1870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结果分析：再生混凝土砌块各项检测指标均符合《再生混凝土砌块》（GB/T 25177-2010）要求，废弃物掺量平均值为69.8%，处于标准规定的65%-75%区间内，抗压强度、外观质量等指标均达标，可用于工程附属区域隔墙砌筑施工，满足绿建评价相关要求。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（三）粉煤灰掺合砂浆检测数据及结果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检测依据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第二组检测</w:t>
            </w:r>
            <w:r>
              <w:rPr>
                <w:rFonts w:eastAsia="等线" w:ascii="Arial" w:cs="Arial" w:hAnsi="Arial"/>
                <w:sz w:val="22"/>
              </w:rPr>
              <w:t>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第三组检测值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粉煤灰掺量（%）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GB/T 15</w:t>
            </w:r>
            <w:r>
              <w:rPr>
                <w:rFonts w:eastAsia="等线" w:ascii="Arial" w:cs="Arial" w:hAnsi="Arial"/>
                <w:sz w:val="22"/>
              </w:rPr>
              <w:t>96-2017、JGJ/T 98-2010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20-30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抗压强度（MPa）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</w:t>
            </w:r>
            <w:r>
              <w:rPr>
                <w:rFonts w:eastAsia="等线" w:ascii="Arial" w:cs="Arial" w:hAnsi="Arial"/>
                <w:sz w:val="22"/>
              </w:rPr>
              <w:t xml:space="preserve"> 98-2010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</w:t>
            </w: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稠</w:t>
            </w:r>
            <w:r>
              <w:rPr>
                <w:rFonts w:eastAsia="等线" w:ascii="Arial" w:cs="Arial" w:hAnsi="Arial"/>
                <w:sz w:val="22"/>
              </w:rPr>
              <w:t>度（mm）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98-2010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70-90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保水率（%）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JGJ/T 98-2010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92.5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凝结时间（h）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JGJ</w:t>
            </w:r>
            <w:r>
              <w:rPr>
                <w:rFonts w:eastAsia="等线" w:ascii="Arial" w:cs="Arial" w:hAnsi="Arial"/>
                <w:sz w:val="22"/>
              </w:rPr>
              <w:t>/T 98-2010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初凝≥4、终凝≤12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初凝5.2、终凝10.5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初凝5.3</w:t>
            </w:r>
            <w:r>
              <w:rPr>
                <w:rFonts w:eastAsia="等线" w:ascii="Arial" w:cs="Arial" w:hAnsi="Arial"/>
                <w:sz w:val="22"/>
              </w:rPr>
              <w:t>、终凝10.3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初凝5.1、终凝10.7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初凝5.2、终凝10.5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结果分析：粉煤灰掺合砂浆各项检测指标均符合《用于水泥和混凝土中的粉煤灰》（GB/T 1596-2017）及《砌筑砂浆配合比设计规程》（JGJ/T 98-2010）要求，粉煤灰掺量平均值为25.3%，处于标准规定的20%-30%区间内，抗压强度、稠度等指标均满足工程设计及施工要求，可用于墙面抹灰、砌块砌筑施工，符合绿建评价利废建材使用相关规定。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四、检测结论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对驻马店博物馆工业化内装工程使用的3大类利废建材（建筑垃圾再生骨料、再生混凝土砌块、粉煤灰掺合砂浆）进行抽样检测，检测过程规范、抽样具有代表性，检测数据真实、精准、可追溯，具体结论如下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建筑垃圾再生骨料（规格5-20mm）：各项检测指标均符合《再生骨料应用技术规程》（JGJ/T 240-2011）要求，废弃物掺量95.2%，质量合格，可用于工程室内地面垫层、回填区域施工，满足绿建评价“节材与材料资源利用”指标要求。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再生混凝土砌块（规格240×115×53mm）：各项检测指标均符合《再生混凝土砌块》（GB/T 25177-2010）要求，废弃物掺量69.8%，质量合格，可用于工程附属区域隔墙砌筑施工，符合绿建评价相关要求。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粉煤灰掺合砂浆（规格M5.0）：各项检测指标均符合《用于水泥和混凝土中的粉煤灰》（GB/T 1596-2017）及《砌筑砂浆配合比设计规程》（JGJ/T 98-2010）要求，粉煤灰掺量25.3%，质量合格，可用于墙面抹灰、砌块砌筑施工，满足绿建评价利废建材使用要求。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的所有利废建材，废弃物掺量均达标，质量合格，符合国家行业标准、工程设计要求及绿建评价“节材与材料资源利用”指标相关规定，可作为绿建评价核查的有效佐证材料，检测报告真实有效、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五、检测报告佐证信息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检测报告名称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报告编号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</w:t>
            </w:r>
            <w:r>
              <w:rPr>
                <w:rFonts w:eastAsia="等线" w:ascii="Arial" w:cs="Arial" w:hAnsi="Arial"/>
                <w:sz w:val="22"/>
              </w:rPr>
              <w:t>利废建材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出具日期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核验方式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建筑垃圾再生骨料检测报告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JC-20240529-07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建筑垃圾再生骨料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</w:t>
            </w:r>
            <w:r>
              <w:rPr>
                <w:rFonts w:eastAsia="等线" w:ascii="Arial" w:cs="Arial" w:hAnsi="Arial"/>
                <w:sz w:val="22"/>
              </w:rPr>
              <w:t>月29日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驻马店市建筑材料检测中心官网</w:t>
            </w:r>
            <w:r>
              <w:rPr>
                <w:rFonts w:eastAsia="等线" w:ascii="Arial" w:cs="Arial" w:hAnsi="Arial"/>
                <w:sz w:val="22"/>
              </w:rPr>
              <w:t>输入报告编号核验，或携带报告原件到检测中心现场核验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再生混凝土砌块检测报告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JC-20240529-08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再生混凝土</w:t>
            </w:r>
            <w:r>
              <w:rPr>
                <w:rFonts w:eastAsia="等线" w:ascii="Arial" w:cs="Arial" w:hAnsi="Arial"/>
                <w:sz w:val="22"/>
              </w:rPr>
              <w:t>砌块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2024年5月29日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同上述核验方式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</w:t>
            </w:r>
            <w:r>
              <w:rPr>
                <w:rFonts w:eastAsia="等线" w:ascii="Arial" w:cs="Arial" w:hAnsi="Arial"/>
                <w:sz w:val="22"/>
              </w:rPr>
              <w:t>掺合砂浆检测报告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JC-20240530-0</w:t>
            </w: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粉煤灰掺合砂浆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2024年5月30日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同上述核验方式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粉煤灰（原料）检测报告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FM-20240522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粉煤灰掺</w:t>
            </w:r>
            <w:r>
              <w:rPr>
                <w:rFonts w:eastAsia="等线" w:ascii="Arial" w:cs="Arial" w:hAnsi="Arial"/>
                <w:sz w:val="22"/>
              </w:rPr>
              <w:t>合砂浆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2024年5月22日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同上述核验方式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六、签字确认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检测单位（盖章）：驻马店市建筑材料检测中心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检测人员（签字）：王XX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审核人员（签字）：李XX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批准人员（签字）：赵XX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出具日期：2024年6月5日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资质证书编号：CMA20234100867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联系电话：0396-1234567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地址：驻马店市驿城区XX路XX号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见证单位（建设单位）签字盖章：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盖章：驻马店博物馆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日期：2024年6月10日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见证单位（监理单位）签字盖章：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总监理工程师（签字）：刘XX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盖章：驻马店市工程建设监理有限公司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日期：2024年6月10日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备注：1. 本检测报告说明及相关检测报告均为真实有效，检测数据可追溯，与工程实际使用的利废建材完全一致，专为绿建评价核查使用；2. 本说明及检测报告一式6份，建设单位、施工单位、监理单位、检测单位、绿建评价验收单位、档案管理单位各留存1份，归档期限≥15年；3. 若对检测数据有异议，可在收到本说明后7个工作日内，向驻马店市建筑材料检测中心提出复核申请，复核费用由申请人承担；4. 本说明自签字盖章之日起生效，具有相应法律效力，可作为绿建评价系统核查的核心佐证材料。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0495335">
    <w:lvl>
      <w:start w:val="1"/>
      <w:numFmt w:val="decimal"/>
      <w:suff w:val="tab"/>
      <w:lvlText w:val="%1."/>
      <w:rPr>
        <w:color w:val="3370ff"/>
      </w:rPr>
    </w:lvl>
  </w:abstractNum>
  <w:abstractNum w:abstractNumId="10495336">
    <w:lvl>
      <w:start w:val="2"/>
      <w:numFmt w:val="decimal"/>
      <w:suff w:val="tab"/>
      <w:lvlText w:val="%1."/>
      <w:rPr>
        <w:color w:val="3370ff"/>
      </w:rPr>
    </w:lvl>
  </w:abstractNum>
  <w:abstractNum w:abstractNumId="10495337">
    <w:lvl>
      <w:start w:val="3"/>
      <w:numFmt w:val="decimal"/>
      <w:suff w:val="tab"/>
      <w:lvlText w:val="%1."/>
      <w:rPr>
        <w:color w:val="3370ff"/>
      </w:rPr>
    </w:lvl>
  </w:abstractNum>
  <w:abstractNum w:abstractNumId="10495338">
    <w:lvl>
      <w:start w:val="4"/>
      <w:numFmt w:val="decimal"/>
      <w:suff w:val="tab"/>
      <w:lvlText w:val="%1."/>
      <w:rPr>
        <w:color w:val="3370ff"/>
      </w:rPr>
    </w:lvl>
  </w:abstractNum>
  <w:abstractNum w:abstractNumId="10495339">
    <w:lvl>
      <w:start w:val="5"/>
      <w:numFmt w:val="decimal"/>
      <w:suff w:val="tab"/>
      <w:lvlText w:val="%1."/>
      <w:rPr>
        <w:color w:val="3370ff"/>
      </w:rPr>
    </w:lvl>
  </w:abstractNum>
  <w:abstractNum w:abstractNumId="10495340">
    <w:lvl>
      <w:start w:val="6"/>
      <w:numFmt w:val="decimal"/>
      <w:suff w:val="tab"/>
      <w:lvlText w:val="%1."/>
      <w:rPr>
        <w:color w:val="3370ff"/>
      </w:rPr>
    </w:lvl>
  </w:abstractNum>
  <w:abstractNum w:abstractNumId="10495341">
    <w:lvl>
      <w:start w:val="7"/>
      <w:numFmt w:val="decimal"/>
      <w:suff w:val="tab"/>
      <w:lvlText w:val="%1."/>
      <w:rPr>
        <w:color w:val="3370ff"/>
      </w:rPr>
    </w:lvl>
  </w:abstractNum>
  <w:abstractNum w:abstractNumId="10495342">
    <w:lvl>
      <w:start w:val="8"/>
      <w:numFmt w:val="decimal"/>
      <w:suff w:val="tab"/>
      <w:lvlText w:val="%1."/>
      <w:rPr>
        <w:color w:val="3370ff"/>
      </w:rPr>
    </w:lvl>
  </w:abstractNum>
  <w:abstractNum w:abstractNumId="10495343">
    <w:lvl>
      <w:start w:val="9"/>
      <w:numFmt w:val="decimal"/>
      <w:suff w:val="tab"/>
      <w:lvlText w:val="%1."/>
      <w:rPr>
        <w:color w:val="3370ff"/>
      </w:rPr>
    </w:lvl>
  </w:abstractNum>
  <w:abstractNum w:abstractNumId="10495344">
    <w:lvl>
      <w:start w:val="1"/>
      <w:numFmt w:val="decimal"/>
      <w:suff w:val="tab"/>
      <w:lvlText w:val="%1."/>
      <w:rPr>
        <w:color w:val="3370ff"/>
      </w:rPr>
    </w:lvl>
  </w:abstractNum>
  <w:abstractNum w:abstractNumId="10495345">
    <w:lvl>
      <w:start w:val="2"/>
      <w:numFmt w:val="decimal"/>
      <w:suff w:val="tab"/>
      <w:lvlText w:val="%1."/>
      <w:rPr>
        <w:color w:val="3370ff"/>
      </w:rPr>
    </w:lvl>
  </w:abstractNum>
  <w:abstractNum w:abstractNumId="10495346">
    <w:lvl>
      <w:start w:val="3"/>
      <w:numFmt w:val="decimal"/>
      <w:suff w:val="tab"/>
      <w:lvlText w:val="%1."/>
      <w:rPr>
        <w:color w:val="3370ff"/>
      </w:rPr>
    </w:lvl>
  </w:abstractNum>
  <w:abstractNum w:abstractNumId="10495347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0495335"/>
  </w:num>
  <w:num w:numId="2">
    <w:abstractNumId w:val="10495336"/>
  </w:num>
  <w:num w:numId="3">
    <w:abstractNumId w:val="10495337"/>
  </w:num>
  <w:num w:numId="4">
    <w:abstractNumId w:val="10495338"/>
  </w:num>
  <w:num w:numId="5">
    <w:abstractNumId w:val="10495339"/>
  </w:num>
  <w:num w:numId="6">
    <w:abstractNumId w:val="10495340"/>
  </w:num>
  <w:num w:numId="7">
    <w:abstractNumId w:val="10495341"/>
  </w:num>
  <w:num w:numId="8">
    <w:abstractNumId w:val="10495342"/>
  </w:num>
  <w:num w:numId="9">
    <w:abstractNumId w:val="10495343"/>
  </w:num>
  <w:num w:numId="10">
    <w:abstractNumId w:val="10495344"/>
  </w:num>
  <w:num w:numId="11">
    <w:abstractNumId w:val="10495345"/>
  </w:num>
  <w:num w:numId="12">
    <w:abstractNumId w:val="10495346"/>
  </w:num>
  <w:num w:numId="13">
    <w:abstractNumId w:val="1049534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2026-03-28T05:24:18Z</dcterms:created>
  <dc:creator>Apache POI</dc:creator>
</cp:coreProperties>
</file>