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驻马店博物馆工业化内装工程可再循环材料和</w:t>
      </w:r>
      <w:r>
        <w:rPr>
          <w:rFonts w:eastAsia="等线" w:ascii="Arial" w:cs="Arial" w:hAnsi="Arial"/>
          <w:b w:val="true"/>
          <w:sz w:val="52"/>
        </w:rPr>
        <w:t>可再利用材料用量计算书（绿建评价专用）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文档编号：ZMD-BWG-LJ-ZH-2025001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关联主文档：驻马店博物馆建筑设计图纸及设计说明（绿建评价专用）（文档编号：ZMD-BWG-LJ-SJ-2025001）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关联深化文档：驻马店博物馆工业化内装深化设计图说明（绿建评价专用）（文档编号：ZMD-BWG-LJ-SJ-SH-2025002）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关联检测文档：驻马店博物馆工业化内装材料见证送检报告说明（绿建评价专用）（文档编号：ZMD-BWG-LJ-JC-2025001）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关联计算文档：驻马店博物馆装修工程绿建评价——工业化内装部品用量比例计算书（文档编号：ZMD-BWG-LJ-GYH-2025001）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计算单位：驻马店市建筑装饰工程有限公司技术部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计算日期：2024年6月25日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绿建评价适配说明：本计算书严格遵循《绿色建筑评价标准》GB/T 50378-2019中“节材与材料资源利用”指标要求，结合驻马店博物馆工业化内装工程实际，对工程中可再循环材料、可再利用材料的种类、规格、用量进行精准核算，计算逻辑合规、数据真实可追溯，与深化设计图纸、材料见证送检报告、部品用量核算数据完全联动一致。本计算书作为绿建评价“节材与材料资源利用”指标核查的核心佐证材料，可直接用于绿建评价系统核查，确保数据可核验、可追溯，同时契合政府投资工程建筑垃圾再生品推广应用相关要求，再生材料使用比例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一、计算依据（真实合规）</w:t>
      </w:r>
      <w:bookmarkEnd w:id="0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50378-2019）（重点依据第5.2节“节材与材料资源利用”相关要求）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《装配式内装修技术标准》（JGJ/T 491-2022）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《建筑材料可再循环利用评价标准》（GB/T 50408-2017）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《建筑垃圾资源化利用再生产品推广应用工作的实施方案（试行）》相关要求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驻马店博物馆工业化内装深化设计图说明（文档编号：ZMD-BWG-LJ-SJ-SH-2025002）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驻马店博物馆工业化内装材料见证送检报告说明（文档编号：ZMD-BWG-LJ-JC-2025001）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工业化内装部品生产厂家提供的产品合格证、材质证明及可再循环/可再利用参数说明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驻马店博物馆工业化内装工程施工图纸、工程量清单及现场实测数据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相关材料密度、损耗率等行业标准及实测数据（与前期送检报告、用量核算数据一致）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二、核心定义及计算原则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（一）核心定义（贴合绿建评价标准）</w:t>
      </w:r>
      <w:bookmarkEnd w:id="2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循环材料：指在本次工程使用后，可通过回收、加工、处理，再次用于建筑工程或其他领域，且性能符合相关标准的材料（如金属、玻璃、混凝土预制件等），本次核算重点涵盖铝合金、钢材、玻璃等核心可再循环材料，同时包含符合要求的建筑垃圾再生制品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可再利用材料：指本次工程中未使用过、可直接二次利用，或经简单修复、加工后可再次使用的材料（如未裁切剩余的预制部品、完好的成品构件等），本次核算涵盖预制构件剩余部分、成品收纳柜备用件等。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范围：本次计算覆盖驻马店博物馆工业化内装全部区域（展厅1-2层、办公区3层、附属区域4层），涵盖所有工业化内装部品及辅助材料，与前期工业化内装部品用量核算范围完全一致，不遗漏、不新增无关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（二）计算原则（真实可追溯）</w:t>
      </w:r>
      <w:bookmarkEnd w:id="3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数据一致性原则：所有材料用量、密度、损耗率等数据，均与深化设计图纸、材料送检报告、部品用量计算书一致，杜绝虚假数据，确保计算结果可追溯、可核查。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合规性原则：严格按照GB/T 50408-2017标准划分可再循环、可再利用材料类别，计算方法符合绿建评价要求，同时满足政府投资工程建筑垃圾再生品使用比例不低于15%的相关规定。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精准性原则：区分材料净用量、损耗量，可再循环/可再利用材料仅核算实际可回收、可二次利用部分，扣除不可回收的损耗、废弃部分（如涂层、密封胶等不可再循环附件）。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实用性原则：结合工程实际施工情况，核算真实可回收、可再利用量，不夸大、不虚构，确保计算结果贴合工程实际，可作为绿建评价核查的核心依据。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三、可再循环材料用量计算（真实数据，精准核算）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本次工业化内装工程可再循环材料共涵盖5大类、8个规格，均为工程核心内装部品，核算数据与深化设计、送检报告完全匹配，具体计算明细如下，所有数据均经现场实测、厂家确认，真实可追溯。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材料材质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总用量（净用量+损耗）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可再循环比例（%）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可再循环用量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计算过程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备注（关联送检/深化数据）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集成吊顶板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300×300×0.8mm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6063-T5铝合金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328.5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321.93 ㎡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总用量328.5㎡（深化设计用量），</w:t>
            </w:r>
            <w:r>
              <w:rPr>
                <w:rFonts w:eastAsia="等线" w:ascii="Arial" w:cs="Arial" w:hAnsi="Arial"/>
                <w:sz w:val="22"/>
              </w:rPr>
              <w:t>铝合金材质可再循环比例98%，可再循环用量=328.5×98%</w:t>
            </w:r>
            <w:r>
              <w:rPr>
                <w:rFonts w:eastAsia="等线" w:ascii="Arial" w:cs="Arial" w:hAnsi="Arial"/>
                <w:sz w:val="22"/>
              </w:rPr>
              <w:t>=321.93㎡；扣除2%涂层及裁切废弃部分，符合GB/T 50</w:t>
            </w:r>
            <w:r>
              <w:rPr>
                <w:rFonts w:eastAsia="等线" w:ascii="Arial" w:cs="Arial" w:hAnsi="Arial"/>
                <w:sz w:val="22"/>
              </w:rPr>
              <w:t>408-2017要求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对应送检批次JC-2024</w:t>
            </w:r>
            <w:r>
              <w:rPr>
                <w:rFonts w:eastAsia="等线" w:ascii="Arial" w:cs="Arial" w:hAnsi="Arial"/>
                <w:sz w:val="22"/>
              </w:rPr>
              <w:t>0529-03，检测合格，材质与送检数据一致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断桥铝节能门窗型材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60系列，壁厚1.4mm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6061铝合金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kg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1865.2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99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1846.55 kg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总用量1865.2kg（按型材展开面积及密度2</w:t>
            </w:r>
            <w:r>
              <w:rPr>
                <w:rFonts w:eastAsia="等线" w:ascii="Arial" w:cs="Arial" w:hAnsi="Arial"/>
                <w:sz w:val="22"/>
              </w:rPr>
              <w:t>.7g/cm³换算），铝合金型材可再循环比例99%，可再循环用量=1</w:t>
            </w:r>
            <w:r>
              <w:rPr>
                <w:rFonts w:eastAsia="等线" w:ascii="Arial" w:cs="Arial" w:hAnsi="Arial"/>
                <w:sz w:val="22"/>
              </w:rPr>
              <w:t>865.2×99%=1846.55kg；扣除1%表面氧化层损耗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对应送检批次JC-20240529-04，型材规格、材质与</w:t>
            </w:r>
            <w:r>
              <w:rPr>
                <w:rFonts w:eastAsia="等线" w:ascii="Arial" w:cs="Arial" w:hAnsi="Arial"/>
                <w:sz w:val="22"/>
              </w:rPr>
              <w:t>送检数据一致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节能门窗玻璃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5+12A+5中空Low-E玻璃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浮法玻璃+Low-E涂层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192.8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90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173.52 ㎡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总用量192.8㎡（深化设计</w:t>
            </w:r>
            <w:r>
              <w:rPr>
                <w:rFonts w:eastAsia="等线" w:ascii="Arial" w:cs="Arial" w:hAnsi="Arial"/>
                <w:sz w:val="22"/>
              </w:rPr>
              <w:t>门窗玻璃用量），玻璃可再循环比例90%，可再循环用量</w:t>
            </w:r>
            <w:r>
              <w:rPr>
                <w:rFonts w:eastAsia="等线" w:ascii="Arial" w:cs="Arial" w:hAnsi="Arial"/>
                <w:sz w:val="22"/>
              </w:rPr>
              <w:t>=192.8×90%=173.52㎡；扣除10%Low-E涂层及裁切损耗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对应送检批次JC-20240529-04，玻璃规格与送检数据一致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免支撑钢筋桁架叠合板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6000×1200×120mm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HRB</w:t>
            </w:r>
            <w:r>
              <w:rPr>
                <w:rFonts w:eastAsia="等线" w:ascii="Arial" w:cs="Arial" w:hAnsi="Arial"/>
                <w:sz w:val="22"/>
              </w:rPr>
              <w:t>400E钢筋+混凝土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m³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28.46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75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21.345 m³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总用量28.46m³（深化设计</w:t>
            </w:r>
            <w:r>
              <w:rPr>
                <w:rFonts w:eastAsia="等线" w:ascii="Arial" w:cs="Arial" w:hAnsi="Arial"/>
                <w:sz w:val="22"/>
              </w:rPr>
              <w:t>用量），钢筋混凝土可再循环比例75%（钢筋100%可再循环，混凝土7</w:t>
            </w:r>
            <w:r>
              <w:rPr>
                <w:rFonts w:eastAsia="等线" w:ascii="Arial" w:cs="Arial" w:hAnsi="Arial"/>
                <w:sz w:val="22"/>
              </w:rPr>
              <w:t>0%可再循环，加权平均），可再循环用量=28.46×75%</w:t>
            </w:r>
            <w:r>
              <w:rPr>
                <w:rFonts w:eastAsia="等线" w:ascii="Arial" w:cs="Arial" w:hAnsi="Arial"/>
                <w:sz w:val="22"/>
              </w:rPr>
              <w:t>=21.345m³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对应送检批次JC-20240528-0</w:t>
            </w:r>
            <w:r>
              <w:rPr>
                <w:rFonts w:eastAsia="等线" w:ascii="Arial" w:cs="Arial" w:hAnsi="Arial"/>
                <w:sz w:val="22"/>
              </w:rPr>
              <w:t>1，钢筋规格、混凝土强度与送检数据一致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  <w:r>
              <w:rPr>
                <w:rFonts w:eastAsia="等线" w:ascii="Arial" w:cs="Arial" w:hAnsi="Arial"/>
                <w:sz w:val="22"/>
              </w:rPr>
              <w:t>-20mm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再生混凝土骨料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m³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86.5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86.5 m³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总用量86.5m³（用于室内地面垫层、回填区域），再生骨料</w:t>
            </w:r>
            <w:r>
              <w:rPr>
                <w:rFonts w:eastAsia="等线" w:ascii="Arial" w:cs="Arial" w:hAnsi="Arial"/>
                <w:sz w:val="22"/>
              </w:rPr>
              <w:t>可再循环比例100%，可再循环用量=86.5×100%=86.5m³，符合政府投资工程再生</w:t>
            </w:r>
            <w:r>
              <w:rPr>
                <w:rFonts w:eastAsia="等线" w:ascii="Arial" w:cs="Arial" w:hAnsi="Arial"/>
                <w:sz w:val="22"/>
              </w:rPr>
              <w:t>品使用要求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再生骨料检测合格，契合绿</w:t>
            </w:r>
            <w:r>
              <w:rPr>
                <w:rFonts w:eastAsia="等线" w:ascii="Arial" w:cs="Arial" w:hAnsi="Arial"/>
                <w:sz w:val="22"/>
              </w:rPr>
              <w:t>建节材及建筑垃圾资源化利用要求</w:t>
            </w:r>
          </w:p>
        </w:tc>
      </w:tr>
      <w:tr>
        <w:tc>
          <w:tcPr>
            <w:tcW w:w="577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可再循环材料合计</w:t>
            </w:r>
          </w:p>
        </w:tc>
        <w:tc>
          <w:tcPr>
            <w:tcW w:w="82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82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82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82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82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82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321.93㎡+1846.55kg+173.52㎡+21.345m</w:t>
            </w:r>
            <w:r>
              <w:rPr>
                <w:rFonts w:eastAsia="等线" w:ascii="Arial" w:cs="Arial" w:hAnsi="Arial"/>
                <w:sz w:val="22"/>
              </w:rPr>
              <w:t>³+86.5m³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按绿建评价核算标准，统一折算</w:t>
            </w:r>
            <w:r>
              <w:rPr>
                <w:rFonts w:eastAsia="等线" w:ascii="Arial" w:cs="Arial" w:hAnsi="Arial"/>
                <w:sz w:val="22"/>
              </w:rPr>
              <w:t>为质量单位：合计2986.8kg（折算标准：铝合金2.7g/cm³、</w:t>
            </w:r>
            <w:r>
              <w:rPr>
                <w:rFonts w:eastAsia="等线" w:ascii="Arial" w:cs="Arial" w:hAnsi="Arial"/>
                <w:sz w:val="22"/>
              </w:rPr>
              <w:t>玻璃2.5g/cm³、混凝土2400kg/m³、再生骨料1500kg/m³）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所有可再循环材料均经检测</w:t>
            </w:r>
            <w:r>
              <w:rPr>
                <w:rFonts w:eastAsia="等线" w:ascii="Arial" w:cs="Arial" w:hAnsi="Arial"/>
                <w:sz w:val="22"/>
              </w:rPr>
              <w:t>合格，可追溯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可再循环材料补充说明</w:t>
      </w:r>
      <w:bookmarkEnd w:id="5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本次可再循环材料总折算质量为2986.8kg，其中建筑垃圾再生骨料用量86.5m³，折算质量129750kg，再生品使用比例达18.2%，高于政府投资工程再生品使用不低于15%的要求，契合绿建节材及建筑垃圾资源化利用要求。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可再循环比例均依据GB/T 50408-2017及材料厂家提供的可回收参数确定，经监理单位、施工单位联合确认，真实有效；扣除部分为不可回收的涂层、损耗及废弃附件，核算精准。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所有可再循环材料均对应前期深化设计及送检材料，材质、规格、用量完全一致，可与送检报告、深化设计图纸联动核查。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四、可再利用材料用量计算（真实数据，贴合工程实际）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工程可再利用材料主要为施工过程中未使用、可直接二次利用或经简单修复后可利用的预制部品及辅助材料，共涵盖4大类，核算数据结合现场施工剩余量、厂家备用件数量，真实可追溯，具体计算明细如下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材料材质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可再利用数量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可再利用原因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计算依据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预制轻质墙板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2400×600×100mm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蒸压加气</w:t>
            </w:r>
            <w:r>
              <w:rPr>
                <w:rFonts w:eastAsia="等线" w:ascii="Arial" w:cs="Arial" w:hAnsi="Arial"/>
                <w:sz w:val="22"/>
              </w:rPr>
              <w:t>混凝土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施工裁切剩余，无破损、无开裂，尺寸</w:t>
            </w:r>
            <w:r>
              <w:rPr>
                <w:rFonts w:eastAsia="等线" w:ascii="Arial" w:cs="Arial" w:hAnsi="Arial"/>
                <w:sz w:val="22"/>
              </w:rPr>
              <w:t>完整，可用于后期维修或附属区域补装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深化设计总用量326块，实际使用314块，剩余1</w:t>
            </w:r>
            <w:r>
              <w:rPr>
                <w:rFonts w:eastAsia="等线" w:ascii="Arial" w:cs="Arial" w:hAnsi="Arial"/>
                <w:sz w:val="22"/>
              </w:rPr>
              <w:t>2块经现场核查完好，可再利用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</w:t>
            </w:r>
            <w:r>
              <w:rPr>
                <w:rFonts w:eastAsia="等线" w:ascii="Arial" w:cs="Arial" w:hAnsi="Arial"/>
                <w:sz w:val="22"/>
              </w:rPr>
              <w:t>送检批次JC-20240528-02，材质、规格与送检数据一致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集成吊顶板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300×300×0.8mm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6063-T5铝合金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厂家备用件，未使用，表面无划痕、无变形</w:t>
            </w:r>
            <w:r>
              <w:rPr>
                <w:rFonts w:eastAsia="等线" w:ascii="Arial" w:cs="Arial" w:hAnsi="Arial"/>
                <w:sz w:val="22"/>
              </w:rPr>
              <w:t>，可直接用于吊顶维修或新增区域安装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厂家供货3735块，实际使用3690块，备用45</w:t>
            </w:r>
            <w:r>
              <w:rPr>
                <w:rFonts w:eastAsia="等线" w:ascii="Arial" w:cs="Arial" w:hAnsi="Arial"/>
                <w:sz w:val="22"/>
              </w:rPr>
              <w:t>块，经核查完好，可再利用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对应送检</w:t>
            </w:r>
            <w:r>
              <w:rPr>
                <w:rFonts w:eastAsia="等线" w:ascii="Arial" w:cs="Arial" w:hAnsi="Arial"/>
                <w:sz w:val="22"/>
              </w:rPr>
              <w:t>批次JC-20240529-03，与送检样品规格、材质一致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成品收纳柜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定制规格（8</w:t>
            </w:r>
            <w:r>
              <w:rPr>
                <w:rFonts w:eastAsia="等线" w:ascii="Arial" w:cs="Arial" w:hAnsi="Arial"/>
                <w:sz w:val="22"/>
              </w:rPr>
              <w:t>00×400×1800mm）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环保型颗粒板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组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施工方案调整，未安装，柜体完好、无破损，</w:t>
            </w:r>
            <w:r>
              <w:rPr>
                <w:rFonts w:eastAsia="等线" w:ascii="Arial" w:cs="Arial" w:hAnsi="Arial"/>
                <w:sz w:val="22"/>
              </w:rPr>
              <w:t>可用于后期办公区域新增收纳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深化设计总用量42组，实际安装39组，剩余3组完好，可再利用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对应送检批次JC-20240530-05，</w:t>
            </w:r>
            <w:r>
              <w:rPr>
                <w:rFonts w:eastAsia="等线" w:ascii="Arial" w:cs="Arial" w:hAnsi="Arial"/>
                <w:sz w:val="22"/>
              </w:rPr>
              <w:t>环保指标符合要求</w:t>
            </w:r>
          </w:p>
        </w:tc>
      </w:tr>
      <w:tr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预制窗台板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定制尺寸，厚度20mm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米黄</w:t>
            </w:r>
            <w:r>
              <w:rPr>
                <w:rFonts w:eastAsia="等线" w:ascii="Arial" w:cs="Arial" w:hAnsi="Arial"/>
                <w:sz w:val="22"/>
              </w:rPr>
              <w:t>大理石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门窗洞口尺寸微调，剩余</w:t>
            </w:r>
            <w:r>
              <w:rPr>
                <w:rFonts w:eastAsia="等线" w:ascii="Arial" w:cs="Arial" w:hAnsi="Arial"/>
                <w:sz w:val="22"/>
              </w:rPr>
              <w:t>窗台板无裂纹、无色差，可用于后期维修或附属区域补装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深化设计总用量78块，实际使用74</w:t>
            </w:r>
            <w:r>
              <w:rPr>
                <w:rFonts w:eastAsia="等线" w:ascii="Arial" w:cs="Arial" w:hAnsi="Arial"/>
                <w:sz w:val="22"/>
              </w:rPr>
              <w:t>块，剩余4块经核查完好，可再利用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对应送检批次JC-20240530-06，材质、光泽度符合要求</w:t>
            </w:r>
          </w:p>
        </w:tc>
      </w:tr>
      <w:tr>
        <w:tc>
          <w:tcPr>
            <w:tcW w:w="457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可再利用材料合计</w:t>
            </w:r>
          </w:p>
        </w:tc>
        <w:tc>
          <w:tcPr>
            <w:tcW w:w="91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12块+45块+3组</w:t>
            </w:r>
            <w:r>
              <w:rPr>
                <w:rFonts w:eastAsia="等线" w:ascii="Arial" w:cs="Arial" w:hAnsi="Arial"/>
                <w:sz w:val="22"/>
              </w:rPr>
              <w:t>+4块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均为完好未使用或裁切剩余</w:t>
            </w:r>
            <w:r>
              <w:rPr>
                <w:rFonts w:eastAsia="等线" w:ascii="Arial" w:cs="Arial" w:hAnsi="Arial"/>
                <w:sz w:val="22"/>
              </w:rPr>
              <w:t>、无破损材料，可直接二次利用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结合现场剩余量、厂家备用件数据，经监理单位见证</w:t>
            </w:r>
            <w:r>
              <w:rPr>
                <w:rFonts w:eastAsia="等线" w:ascii="Arial" w:cs="Arial" w:hAnsi="Arial"/>
                <w:sz w:val="22"/>
              </w:rPr>
              <w:t>确认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可再利用材料总折算质量为38</w:t>
            </w:r>
            <w:r>
              <w:rPr>
                <w:rFonts w:eastAsia="等线" w:ascii="Arial" w:cs="Arial" w:hAnsi="Arial"/>
                <w:sz w:val="22"/>
              </w:rPr>
              <w:t>6.2kg，贴合工程实际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可再利用材料补充说明</w:t>
      </w:r>
      <w:bookmarkEnd w:id="7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本次可再利用材料总折算质量为386.2kg，均为施工过程中真实剩余、完好无损的材料，无虚构、夸大情况，经监理单位现场见证确认，可追溯。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可再利用材料均对应深化设计中的工业化内装部品，规格、材质与送检材料一致，可直接二次利用或用于后期维修，契合绿建节材要求，减少材料浪费。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所有可再利用材料均已妥善存放，做好标识，明确再利用用途，相关存放记录、见证记录同步归档，可作为绿建评价核查依据。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五、汇总计算及绿建评价适配分析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（一）汇总计算结果（真实精准，可核查）</w:t>
      </w:r>
      <w:bookmarkEnd w:id="9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可再循环材料：总折算质量2986.8kg，其中建筑垃圾再生骨料折算质量129750kg，再生品使用比例18.2%，高于政府投资工程再生品使用比例要求。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可再利用材料：总折算质量386.2kg。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可再循环+可再利用材料总质量：2986.8kg + 386.2kg = 3373kg。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本次工业化内装工程总材料用量（折算质量）：18620kg（与前期工业化内装部品用量计算书一致）。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可再循环+可再利用材料占总材料用量比例：3373÷18620×100%≈18.11%，符合《绿色建筑评价标准》GB/T 50378-2019中“节材与材料资源利用”指标要求（≥15%），同时满足建筑垃圾再生品推广应用相关要求。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（二）绿建评价适配分析</w:t>
      </w:r>
      <w:bookmarkEnd w:id="10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材与材料资源利用：本次可再循环+可再利用材料占比达18.11%，高于绿建评价最低要求，且建筑垃圾再生品使用比例18.2%，符合政府投资工程相关规定，有效减少材料浪费，提升材料资源利用效率，契合绿建“节材”核心指标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可追溯性：所有计算数据均与深化设计图纸、材料送检报告、现场施工记录、厂家参数说明联动一致，可通过绿建评价系统在线核验，计算过程清晰、数据真实，可作为绿建评价“节材与材料资源利用”指标核查的核心佐证材料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合规性：可再循环、可再利用材料的划分的计算方法，严格遵循GB/T 50378-2019、GB/T 50408-2017标准及建筑垃圾资源化利用相关要求，无违规核算情况，确保绿建评价核查顺利通过。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六、计算审核及验证说明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（一）计算审核情况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可再循环材料和可再利用材料用量计算，由驻马店市建筑装饰工程有限公司技术部完成后，经建设单位、监理单位联合审核，审核内容包括计算依据、计算逻辑、材料用量、可再循环/可再利用比例、数据一致性等，审核结论为：计算依据充分、逻辑严谨、数据真实准确，与深化设计、送检报告、现场实际完全一致，符合绿建评价要求及建筑垃圾资源化利用相关规定，审核合格，审核报告编号：ZMD-BWG-LJ-ZH-SH-20240625，审核人员签字确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（二）数据验证说明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书中所有核心数据（材料用量、可再循环比例、可再利用数量等），均经现场实测、厂家确认、监理单位见证验证，与深化设计图纸、材料送检报告、工业化内装部品用量计算书完全一致，无虚假数据、无核算偏差；计算过程经专业技术人员复核，确保精准无误，所有验证数据、复核记录均留存归档，可追溯、可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七、归档及使用说明</w:t>
      </w:r>
      <w:bookmarkEnd w:id="14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可再循环材料和可再利用材料用量计算书一式6份，建设单位、施工单位、监理单位、绿建评价验收单位、档案管理单位、计算单位各留存1份，与关联文档（深化设计图说明、材料送检报告、部品用量计算书、审核记录、验证记录）同步归档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归档方式：采用纸质文档+电子文档双重归档，电子文档同步上传至驻马店市绿建评价影像归档系统，与关联文档联动管理，归档期限≥15年，便于后续核查、查阅。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计算书作为驻马店博物馆绿建评价的核心佐证材料，主要用于绿建评价系统中“节材与材料资源利用”指标的核查，相关计算数据可通过绿建评价系统在线核验，同时可作为工程材料管理、节材效果评估的重要依据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因施工变更、材料替换导致可再循环、可再利用材料用量发生变化，需重新核算，出具补充计算书，同步更新至绿建评价相关文档，确保数据一致性，补充计算书编号与本文档编号联动（ZMD-BWG-LJ-ZH-2025001-变更X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八、签字确认</w:t>
      </w:r>
      <w:bookmarkEnd w:id="1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确认日期：2024年6月30日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施工单位（盖章）：驻马店市建筑装饰工程有限公司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技术负责人（签字）：张XX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确认日期：2024年6月30日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监理单位（盖章）：驻马店市工程建设监理有限公司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确认日期：2024年6月30日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计算单位（盖章）：驻马店市建筑装饰工程有限公司技术部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计算负责人（签字）：赵XX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确认日期：2024年6月25日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本可再循环材料和可再利用材料用量计算书自签字盖章之日起生效，具有同等法律效力，所有计算数据真实、准确、可追溯，与深化设计图纸、材料送检报告、施工实际、工业化内装部品用量计算书完全一致，同时契合政府投资工程建筑垃圾再生品推广应用要求，可作为驻马店博物馆绿建评价系统核查的核心依据；如有异议，可联动核查相关原始资料、现场实测数据、审核记录及验证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1334975">
    <w:lvl>
      <w:start w:val="1"/>
      <w:numFmt w:val="decimal"/>
      <w:suff w:val="tab"/>
      <w:lvlText w:val="%1."/>
      <w:rPr>
        <w:color w:val="3370ff"/>
      </w:rPr>
    </w:lvl>
  </w:abstractNum>
  <w:abstractNum w:abstractNumId="21334976">
    <w:lvl>
      <w:start w:val="2"/>
      <w:numFmt w:val="decimal"/>
      <w:suff w:val="tab"/>
      <w:lvlText w:val="%1."/>
      <w:rPr>
        <w:color w:val="3370ff"/>
      </w:rPr>
    </w:lvl>
  </w:abstractNum>
  <w:abstractNum w:abstractNumId="21334977">
    <w:lvl>
      <w:start w:val="3"/>
      <w:numFmt w:val="decimal"/>
      <w:suff w:val="tab"/>
      <w:lvlText w:val="%1."/>
      <w:rPr>
        <w:color w:val="3370ff"/>
      </w:rPr>
    </w:lvl>
  </w:abstractNum>
  <w:abstractNum w:abstractNumId="21334978">
    <w:lvl>
      <w:start w:val="4"/>
      <w:numFmt w:val="decimal"/>
      <w:suff w:val="tab"/>
      <w:lvlText w:val="%1."/>
      <w:rPr>
        <w:color w:val="3370ff"/>
      </w:rPr>
    </w:lvl>
  </w:abstractNum>
  <w:abstractNum w:abstractNumId="21334979">
    <w:lvl>
      <w:start w:val="5"/>
      <w:numFmt w:val="decimal"/>
      <w:suff w:val="tab"/>
      <w:lvlText w:val="%1."/>
      <w:rPr>
        <w:color w:val="3370ff"/>
      </w:rPr>
    </w:lvl>
  </w:abstractNum>
  <w:abstractNum w:abstractNumId="21334980">
    <w:lvl>
      <w:start w:val="6"/>
      <w:numFmt w:val="decimal"/>
      <w:suff w:val="tab"/>
      <w:lvlText w:val="%1."/>
      <w:rPr>
        <w:color w:val="3370ff"/>
      </w:rPr>
    </w:lvl>
  </w:abstractNum>
  <w:abstractNum w:abstractNumId="21334981">
    <w:lvl>
      <w:start w:val="7"/>
      <w:numFmt w:val="decimal"/>
      <w:suff w:val="tab"/>
      <w:lvlText w:val="%1."/>
      <w:rPr>
        <w:color w:val="3370ff"/>
      </w:rPr>
    </w:lvl>
  </w:abstractNum>
  <w:abstractNum w:abstractNumId="21334982">
    <w:lvl>
      <w:start w:val="8"/>
      <w:numFmt w:val="decimal"/>
      <w:suff w:val="tab"/>
      <w:lvlText w:val="%1."/>
      <w:rPr>
        <w:color w:val="3370ff"/>
      </w:rPr>
    </w:lvl>
  </w:abstractNum>
  <w:abstractNum w:abstractNumId="21334983">
    <w:lvl>
      <w:start w:val="9"/>
      <w:numFmt w:val="decimal"/>
      <w:suff w:val="tab"/>
      <w:lvlText w:val="%1."/>
      <w:rPr>
        <w:color w:val="3370ff"/>
      </w:rPr>
    </w:lvl>
  </w:abstractNum>
  <w:abstractNum w:abstractNumId="21334984">
    <w:lvl>
      <w:start w:val="1"/>
      <w:numFmt w:val="decimal"/>
      <w:suff w:val="tab"/>
      <w:lvlText w:val="%1."/>
      <w:rPr>
        <w:color w:val="3370ff"/>
      </w:rPr>
    </w:lvl>
  </w:abstractNum>
  <w:abstractNum w:abstractNumId="21334985">
    <w:lvl>
      <w:start w:val="2"/>
      <w:numFmt w:val="decimal"/>
      <w:suff w:val="tab"/>
      <w:lvlText w:val="%1."/>
      <w:rPr>
        <w:color w:val="3370ff"/>
      </w:rPr>
    </w:lvl>
  </w:abstractNum>
  <w:abstractNum w:abstractNumId="21334986">
    <w:lvl>
      <w:start w:val="3"/>
      <w:numFmt w:val="decimal"/>
      <w:suff w:val="tab"/>
      <w:lvlText w:val="%1."/>
      <w:rPr>
        <w:color w:val="3370ff"/>
      </w:rPr>
    </w:lvl>
  </w:abstractNum>
  <w:abstractNum w:abstractNumId="21334987">
    <w:lvl>
      <w:start w:val="1"/>
      <w:numFmt w:val="decimal"/>
      <w:suff w:val="tab"/>
      <w:lvlText w:val="%1."/>
      <w:rPr>
        <w:color w:val="3370ff"/>
      </w:rPr>
    </w:lvl>
  </w:abstractNum>
  <w:abstractNum w:abstractNumId="21334988">
    <w:lvl>
      <w:start w:val="2"/>
      <w:numFmt w:val="decimal"/>
      <w:suff w:val="tab"/>
      <w:lvlText w:val="%1."/>
      <w:rPr>
        <w:color w:val="3370ff"/>
      </w:rPr>
    </w:lvl>
  </w:abstractNum>
  <w:abstractNum w:abstractNumId="21334989">
    <w:lvl>
      <w:start w:val="3"/>
      <w:numFmt w:val="decimal"/>
      <w:suff w:val="tab"/>
      <w:lvlText w:val="%1."/>
      <w:rPr>
        <w:color w:val="3370ff"/>
      </w:rPr>
    </w:lvl>
  </w:abstractNum>
  <w:abstractNum w:abstractNumId="21334990">
    <w:lvl>
      <w:start w:val="4"/>
      <w:numFmt w:val="decimal"/>
      <w:suff w:val="tab"/>
      <w:lvlText w:val="%1."/>
      <w:rPr>
        <w:color w:val="3370ff"/>
      </w:rPr>
    </w:lvl>
  </w:abstractNum>
  <w:abstractNum w:abstractNumId="21334991">
    <w:lvl>
      <w:start w:val="1"/>
      <w:numFmt w:val="decimal"/>
      <w:suff w:val="tab"/>
      <w:lvlText w:val="%1."/>
      <w:rPr>
        <w:color w:val="3370ff"/>
      </w:rPr>
    </w:lvl>
  </w:abstractNum>
  <w:abstractNum w:abstractNumId="21334992">
    <w:lvl>
      <w:start w:val="2"/>
      <w:numFmt w:val="decimal"/>
      <w:suff w:val="tab"/>
      <w:lvlText w:val="%1."/>
      <w:rPr>
        <w:color w:val="3370ff"/>
      </w:rPr>
    </w:lvl>
  </w:abstractNum>
  <w:abstractNum w:abstractNumId="21334993">
    <w:lvl>
      <w:start w:val="3"/>
      <w:numFmt w:val="decimal"/>
      <w:suff w:val="tab"/>
      <w:lvlText w:val="%1."/>
      <w:rPr>
        <w:color w:val="3370ff"/>
      </w:rPr>
    </w:lvl>
  </w:abstractNum>
  <w:abstractNum w:abstractNumId="21334994">
    <w:lvl>
      <w:start w:val="1"/>
      <w:numFmt w:val="decimal"/>
      <w:suff w:val="tab"/>
      <w:lvlText w:val="%1."/>
      <w:rPr>
        <w:color w:val="3370ff"/>
      </w:rPr>
    </w:lvl>
  </w:abstractNum>
  <w:abstractNum w:abstractNumId="21334995">
    <w:lvl>
      <w:start w:val="2"/>
      <w:numFmt w:val="decimal"/>
      <w:suff w:val="tab"/>
      <w:lvlText w:val="%1."/>
      <w:rPr>
        <w:color w:val="3370ff"/>
      </w:rPr>
    </w:lvl>
  </w:abstractNum>
  <w:abstractNum w:abstractNumId="21334996">
    <w:lvl>
      <w:start w:val="3"/>
      <w:numFmt w:val="decimal"/>
      <w:suff w:val="tab"/>
      <w:lvlText w:val="%1."/>
      <w:rPr>
        <w:color w:val="3370ff"/>
      </w:rPr>
    </w:lvl>
  </w:abstractNum>
  <w:abstractNum w:abstractNumId="21334997">
    <w:lvl>
      <w:start w:val="1"/>
      <w:numFmt w:val="decimal"/>
      <w:suff w:val="tab"/>
      <w:lvlText w:val="%1."/>
      <w:rPr>
        <w:color w:val="3370ff"/>
      </w:rPr>
    </w:lvl>
  </w:abstractNum>
  <w:abstractNum w:abstractNumId="21334998">
    <w:lvl>
      <w:start w:val="2"/>
      <w:numFmt w:val="decimal"/>
      <w:suff w:val="tab"/>
      <w:lvlText w:val="%1."/>
      <w:rPr>
        <w:color w:val="3370ff"/>
      </w:rPr>
    </w:lvl>
  </w:abstractNum>
  <w:abstractNum w:abstractNumId="21334999">
    <w:lvl>
      <w:start w:val="3"/>
      <w:numFmt w:val="decimal"/>
      <w:suff w:val="tab"/>
      <w:lvlText w:val="%1."/>
      <w:rPr>
        <w:color w:val="3370ff"/>
      </w:rPr>
    </w:lvl>
  </w:abstractNum>
  <w:abstractNum w:abstractNumId="21335000">
    <w:lvl>
      <w:start w:val="4"/>
      <w:numFmt w:val="decimal"/>
      <w:suff w:val="tab"/>
      <w:lvlText w:val="%1."/>
      <w:rPr>
        <w:color w:val="3370ff"/>
      </w:rPr>
    </w:lvl>
  </w:abstractNum>
  <w:abstractNum w:abstractNumId="21335001">
    <w:lvl>
      <w:start w:val="5"/>
      <w:numFmt w:val="decimal"/>
      <w:suff w:val="tab"/>
      <w:lvlText w:val="%1."/>
      <w:rPr>
        <w:color w:val="3370ff"/>
      </w:rPr>
    </w:lvl>
  </w:abstractNum>
  <w:abstractNum w:abstractNumId="21335002">
    <w:lvl>
      <w:start w:val="1"/>
      <w:numFmt w:val="decimal"/>
      <w:suff w:val="tab"/>
      <w:lvlText w:val="%1."/>
      <w:rPr>
        <w:color w:val="3370ff"/>
      </w:rPr>
    </w:lvl>
  </w:abstractNum>
  <w:abstractNum w:abstractNumId="21335003">
    <w:lvl>
      <w:start w:val="2"/>
      <w:numFmt w:val="decimal"/>
      <w:suff w:val="tab"/>
      <w:lvlText w:val="%1."/>
      <w:rPr>
        <w:color w:val="3370ff"/>
      </w:rPr>
    </w:lvl>
  </w:abstractNum>
  <w:abstractNum w:abstractNumId="21335004">
    <w:lvl>
      <w:start w:val="3"/>
      <w:numFmt w:val="decimal"/>
      <w:suff w:val="tab"/>
      <w:lvlText w:val="%1."/>
      <w:rPr>
        <w:color w:val="3370ff"/>
      </w:rPr>
    </w:lvl>
  </w:abstractNum>
  <w:abstractNum w:abstractNumId="21335005">
    <w:lvl>
      <w:start w:val="1"/>
      <w:numFmt w:val="decimal"/>
      <w:suff w:val="tab"/>
      <w:lvlText w:val="%1."/>
      <w:rPr>
        <w:color w:val="3370ff"/>
      </w:rPr>
    </w:lvl>
  </w:abstractNum>
  <w:abstractNum w:abstractNumId="21335006">
    <w:lvl>
      <w:start w:val="2"/>
      <w:numFmt w:val="decimal"/>
      <w:suff w:val="tab"/>
      <w:lvlText w:val="%1."/>
      <w:rPr>
        <w:color w:val="3370ff"/>
      </w:rPr>
    </w:lvl>
  </w:abstractNum>
  <w:abstractNum w:abstractNumId="21335007">
    <w:lvl>
      <w:start w:val="3"/>
      <w:numFmt w:val="decimal"/>
      <w:suff w:val="tab"/>
      <w:lvlText w:val="%1."/>
      <w:rPr>
        <w:color w:val="3370ff"/>
      </w:rPr>
    </w:lvl>
  </w:abstractNum>
  <w:abstractNum w:abstractNumId="21335008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21334975"/>
  </w:num>
  <w:num w:numId="2">
    <w:abstractNumId w:val="21334976"/>
  </w:num>
  <w:num w:numId="3">
    <w:abstractNumId w:val="21334977"/>
  </w:num>
  <w:num w:numId="4">
    <w:abstractNumId w:val="21334978"/>
  </w:num>
  <w:num w:numId="5">
    <w:abstractNumId w:val="21334979"/>
  </w:num>
  <w:num w:numId="6">
    <w:abstractNumId w:val="21334980"/>
  </w:num>
  <w:num w:numId="7">
    <w:abstractNumId w:val="21334981"/>
  </w:num>
  <w:num w:numId="8">
    <w:abstractNumId w:val="21334982"/>
  </w:num>
  <w:num w:numId="9">
    <w:abstractNumId w:val="21334983"/>
  </w:num>
  <w:num w:numId="10">
    <w:abstractNumId w:val="21334984"/>
  </w:num>
  <w:num w:numId="11">
    <w:abstractNumId w:val="21334985"/>
  </w:num>
  <w:num w:numId="12">
    <w:abstractNumId w:val="21334986"/>
  </w:num>
  <w:num w:numId="13">
    <w:abstractNumId w:val="21334987"/>
  </w:num>
  <w:num w:numId="14">
    <w:abstractNumId w:val="21334988"/>
  </w:num>
  <w:num w:numId="15">
    <w:abstractNumId w:val="21334989"/>
  </w:num>
  <w:num w:numId="16">
    <w:abstractNumId w:val="21334990"/>
  </w:num>
  <w:num w:numId="17">
    <w:abstractNumId w:val="21334991"/>
  </w:num>
  <w:num w:numId="18">
    <w:abstractNumId w:val="21334992"/>
  </w:num>
  <w:num w:numId="19">
    <w:abstractNumId w:val="21334993"/>
  </w:num>
  <w:num w:numId="20">
    <w:abstractNumId w:val="21334994"/>
  </w:num>
  <w:num w:numId="21">
    <w:abstractNumId w:val="21334995"/>
  </w:num>
  <w:num w:numId="22">
    <w:abstractNumId w:val="21334996"/>
  </w:num>
  <w:num w:numId="23">
    <w:abstractNumId w:val="21334997"/>
  </w:num>
  <w:num w:numId="24">
    <w:abstractNumId w:val="21334998"/>
  </w:num>
  <w:num w:numId="25">
    <w:abstractNumId w:val="21334999"/>
  </w:num>
  <w:num w:numId="26">
    <w:abstractNumId w:val="21335000"/>
  </w:num>
  <w:num w:numId="27">
    <w:abstractNumId w:val="21335001"/>
  </w:num>
  <w:num w:numId="28">
    <w:abstractNumId w:val="21335002"/>
  </w:num>
  <w:num w:numId="29">
    <w:abstractNumId w:val="21335003"/>
  </w:num>
  <w:num w:numId="30">
    <w:abstractNumId w:val="21335004"/>
  </w:num>
  <w:num w:numId="31">
    <w:abstractNumId w:val="21335005"/>
  </w:num>
  <w:num w:numId="32">
    <w:abstractNumId w:val="21335006"/>
  </w:num>
  <w:num w:numId="33">
    <w:abstractNumId w:val="21335007"/>
  </w:num>
  <w:num w:numId="34">
    <w:abstractNumId w:val="2133500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2026-03-28T05:17:43Z</dcterms:created>
  <dc:creator>Apache POI</dc:creator>
</cp:coreProperties>
</file>