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围护结构内部冷凝验算计算书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公共建筑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辰光溯昔—基于豫南地区生态的博物馆绿色建筑设计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设计编号：LJ-2026-RE-009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：驻马店市文旅建设发展有限公司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：河南豫南建筑设计研究院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校对人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审定人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：_______________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报告日期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：2026年03月23日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采用软件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：节能设计BECS2025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软件版本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：20250505(PLUS)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正版授权码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：HN-LJ-2026-BECS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研发单位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：北京绿建软件股份有限公司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建筑概况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河南-驻马店（寒冷B区）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地上18209.2 ㎡ 地下0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 地下0层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框架结构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2 评价依据</w:t>
      </w:r>
      <w:bookmarkEnd w:id="1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《建筑节能与可再生能源利用通用规范》GB55015-2021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《建筑环境通用规范》GB 55016-2021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《民用建筑热工设计规范》GB50176-2016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本项目施工图、设计说明、墙身大样图、节能计算书、绿色建筑分析报告</w:t>
      </w: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2.1 评价目标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依据《建筑环境通用规范》GB 55016-2021 4.4.3条、《绿色建筑评价标准》GB/T 50378-2019（2024年版）相关要求：供暖期间，围护结构中保温材料因内部冷凝受潮而增加的重量湿度允许增量，应符合规范限值；相应冷凝计算界面内侧最小蒸汽渗透阻应大于规范计算限值，杜绝屋面、外墙内部产生冷凝，同时保证非透光围护结构内表面无结露。</w:t>
      </w:r>
    </w:p>
    <w:p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2.2 评价方法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根据《民用建筑热工设计规范》GB50176-2016、《建筑环境通用规范》GB 55016-2021第4.4.3条，当围护结构内部可能发生冷凝时，冷凝计算界面内侧所需的蒸汽渗透阻按规范公式计算，推导冷凝界面温度、蒸汽分压力、湿度增量等关键参数，对比实际值与规范限值，判定冷凝验算是否合格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核心计算公式：</w:t>
      </w:r>
    </w:p>
    <w:p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0i</m:t>
              </m:r>
            </m:sub>
          </m:sSub>
          <m:r>
            <w:rPr>
              <w:rFonts w:ascii="Cambria Math" w:hAnsi="Cambria Math"/>
            </w:rPr>
            <m:t>≥</m:t>
          </m:r>
          <m:f>
            <m:fPr/>
            <m:num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num>
            <m:den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sSub>
            <m:sSubPr/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0e</m:t>
              </m:r>
            </m:sub>
          </m:sSub>
        </m:oMath>
      </m:oMathPara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冷凝计算界面温度公式：</w:t>
      </w:r>
    </w:p>
    <w:p>
      <w:pPr>
        <w:spacing w:before="120" w:after="120" w:line="288" w:lineRule="auto"/>
        <w:ind w:left="0"/>
        <w:jc w:val="left"/>
      </w:pPr>
      <m:oMathPara>
        <m:oMath>
          <m:sSub>
            <m:sSubPr/>
            <m:e>
              <m: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/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-</m:t>
          </m:r>
          <m:f>
            <m:fPr/>
            <m:num>
              <m:sSub>
                <m:sSubPr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b,i</m:t>
                  </m:r>
                </m:sub>
              </m:sSub>
            </m:num>
            <m:den>
              <m:sSub>
                <m:sSubPr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d>
            <m:dPr>
              <m:sepChr m:val=","/>
            </m:dPr>
            <m:e>
              <m:sSub>
                <m:sSubPr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e,m</m:t>
                  </m:r>
                </m:sub>
              </m:sSub>
            </m:e>
          </m:d>
        </m:oMath>
      </m:oMathPara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式中符号含义：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0i</m:t>
            </m:r>
          </m:sub>
        </m:sSub>
      </m:oMath>
      <w:r>
        <w:rPr>
          <w:rFonts w:ascii="Arial" w:hAnsi="Arial" w:eastAsia="等线" w:cs="Arial"/>
          <w:sz w:val="22"/>
        </w:rPr>
        <w:t>：冷凝计算界面内侧实际蒸汽渗透阻(㎡·h·Pa/g)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0e</m:t>
            </m:r>
          </m:sub>
        </m:sSub>
      </m:oMath>
      <w:r>
        <w:rPr>
          <w:rFonts w:ascii="Arial" w:hAnsi="Arial" w:eastAsia="等线" w:cs="Arial"/>
          <w:sz w:val="22"/>
        </w:rPr>
        <w:t>：冷凝计算界面至围护结构外表面之间的蒸汽渗透阻(㎡·h·Pa/g)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>
        <w:rPr>
          <w:rFonts w:ascii="Arial" w:hAnsi="Arial" w:eastAsia="等线" w:cs="Arial"/>
          <w:sz w:val="22"/>
        </w:rPr>
        <w:t>：室内空气水蒸气分压力(Pa)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</m:oMath>
      <w:r>
        <w:rPr>
          <w:rFonts w:ascii="Arial" w:hAnsi="Arial" w:eastAsia="等线" w:cs="Arial"/>
          <w:sz w:val="22"/>
        </w:rPr>
        <w:t>：室外空气水蒸气分压力(Pa)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Arial" w:hAnsi="Arial" w:eastAsia="等线" w:cs="Arial"/>
          <w:sz w:val="22"/>
        </w:rPr>
        <w:t>：冷凝计算界面处饱和水蒸气分压力(Pa)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Arial" w:hAnsi="Arial" w:eastAsia="等线" w:cs="Arial"/>
          <w:sz w:val="22"/>
        </w:rPr>
        <w:t>：冷凝计算界面温度（℃）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Arial" w:hAnsi="Arial" w:eastAsia="等线" w:cs="Arial"/>
          <w:sz w:val="22"/>
        </w:rPr>
        <w:t>：室内计算温度（℃）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e,m</m:t>
            </m:r>
          </m:sub>
        </m:sSub>
      </m:oMath>
      <w:r>
        <w:rPr>
          <w:rFonts w:ascii="Arial" w:hAnsi="Arial" w:eastAsia="等线" w:cs="Arial"/>
          <w:sz w:val="22"/>
        </w:rPr>
        <w:t>：采暖期室外平均温度（℃）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Arial" w:hAnsi="Arial" w:eastAsia="等线" w:cs="Arial"/>
          <w:sz w:val="22"/>
        </w:rPr>
        <w:t>：围护结构传热阻（㎡·K/W）</w:t>
      </w:r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Arial" w:hAnsi="Arial" w:eastAsia="等线" w:cs="Arial"/>
          <w:sz w:val="22"/>
        </w:rPr>
        <w:t>：内表面换热阻（㎡·K/W）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m:oMath>
        <m:sSub>
          <m:sSubPr/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b,i</m:t>
            </m:r>
          </m:sub>
        </m:sSub>
      </m:oMath>
      <w:r>
        <w:rPr>
          <w:rFonts w:ascii="Arial" w:hAnsi="Arial" w:eastAsia="等线" w:cs="Arial"/>
          <w:sz w:val="22"/>
        </w:rPr>
        <w:t>：冷凝计算界面至内表面热阻（㎡·K/W）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3 防潮验算计算条件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30"/>
        <w:gridCol w:w="2070"/>
        <w:gridCol w:w="31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数值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取值依据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内表面换热阻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（㎡·K/W）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0.11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GB50176-2016附录B.4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室内计算温度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(℃)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GB50176-2016第3.3.1条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室内相对湿度(%)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GB50176-2016第3.3.1条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采暖期室外平均温度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e,m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2.3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GB50176-2016附录A.0.1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室外相对湿度(%)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63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GB50176-2016附录A.0.1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3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采暖期天数Z（天）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85</w:t>
            </w:r>
          </w:p>
        </w:tc>
        <w:tc>
          <w:tcPr>
            <w:tcW w:w="31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GB50176-2016附录A.0.1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4 围护结构构造及冷凝验算</w:t>
      </w:r>
      <w:bookmarkEnd w:id="5"/>
    </w:p>
    <w:p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4.1 屋顶构造（平屋面）验算</w:t>
      </w:r>
      <w:bookmarkEnd w:id="6"/>
    </w:p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4.1.1 屋面构造层参数（由上到下）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900"/>
        <w:gridCol w:w="1125"/>
        <w:gridCol w:w="900"/>
        <w:gridCol w:w="1125"/>
        <w:gridCol w:w="1350"/>
        <w:gridCol w:w="112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厚度δ(mm)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导热系数λ[W/(m·K)]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修正系数α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密度ρ(kg/m³)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蒸汽渗透系数μ[g/(m·h·kPa)]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热阻R[(㎡·K)/W]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C20细石混凝土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1.510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0.0158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0.026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挤塑聚苯板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0.030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28.50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2.727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轻骨料混凝土找坡层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0.300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1050.00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0.0140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0.067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钢筋混凝土屋面板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1.740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0.0158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0.069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0.0443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4.1.2 屋面冷凝验算核心参数</w:t>
      </w:r>
      <w:bookmarkEnd w:id="8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50"/>
        <w:gridCol w:w="207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规范限值/判定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冷凝计算界面温度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内侧实际蒸汽渗透阻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0i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(㎡·h·Pa/g)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10265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≥2410（合格）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外侧蒸汽渗透阻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0e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(㎡·h·Pa/g)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3521.76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1241.35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448.62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界面饱和水蒸气分压力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736.25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保温材料重量湿度增量(%)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≤10.00（合格）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4.2 外墙（展厅填充墙）验算</w:t>
      </w:r>
      <w:bookmarkEnd w:id="9"/>
    </w:p>
    <w:p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4.2.1 外墙构造层参数（由上到下）</w:t>
      </w:r>
      <w:bookmarkEnd w:id="1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5"/>
        <w:gridCol w:w="900"/>
        <w:gridCol w:w="1125"/>
        <w:gridCol w:w="900"/>
        <w:gridCol w:w="1125"/>
        <w:gridCol w:w="1350"/>
        <w:gridCol w:w="112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厚度δ(mm)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导热系数λ[W/(m·K)]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修正系数α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密度ρ(kg/m³)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蒸汽渗透系数μ[g/(m·h·kPa)]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热阻R[(㎡·K)/W]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水泥砂浆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0.930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0.022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岩棉板保温层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0.041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0.4880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1.774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加气混凝土砌块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0.180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0.0998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0.889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石灰砂浆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0.810</w:t>
            </w:r>
          </w:p>
        </w:tc>
        <w:tc>
          <w:tcPr>
            <w:tcW w:w="9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1.00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1600.00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0.0443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0.025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4.2.2 外墙冷凝验算核心参数</w:t>
      </w:r>
      <w:bookmarkEnd w:id="1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50"/>
        <w:gridCol w:w="2070"/>
        <w:gridCol w:w="276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计算数值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规范限值/判定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冷凝计算界面温度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（℃）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2.51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内侧实际蒸汽渗透阻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0i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(㎡·h·Pa/g)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2684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≥987（合格）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外侧蒸汽渗透阻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0e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(㎡·h·Pa/g)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968.42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1241.35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室外水蒸气分压力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448.62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界面饱和水蒸气分压力</w:t>
            </w:r>
            <m:oMath>
              <m:sSub>
                <m:sSubPr/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</m:oMath>
            <w:r>
              <w:rPr>
                <w:rFonts w:ascii="Arial" w:hAnsi="Arial" w:eastAsia="等线" w:cs="Arial"/>
                <w:sz w:val="22"/>
              </w:rPr>
              <w:t>(Pa)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730.16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4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保温材料重量湿度增量(%)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≤5.00（合格）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5 验算结论汇总</w:t>
      </w:r>
      <w:bookmarkEnd w:id="1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1320"/>
        <w:gridCol w:w="1050"/>
        <w:gridCol w:w="1050"/>
        <w:gridCol w:w="1320"/>
        <w:gridCol w:w="1320"/>
        <w:gridCol w:w="885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围护类型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构造类型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湿度增量限值(%)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实际增量(%)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蒸汽渗透阻限值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实际蒸汽渗透阻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结论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屋顶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平屋面构造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10.00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2410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10265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展厅填充墙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5.00</w:t>
            </w:r>
          </w:p>
        </w:tc>
        <w:tc>
          <w:tcPr>
            <w:tcW w:w="10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0.00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987</w:t>
            </w:r>
          </w:p>
        </w:tc>
        <w:tc>
          <w:tcPr>
            <w:tcW w:w="132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2684</w:t>
            </w:r>
          </w:p>
        </w:tc>
        <w:tc>
          <w:tcPr>
            <w:tcW w:w="8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满足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EFFF0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本项目</w:t>
            </w:r>
            <w:r>
              <w:rPr>
                <w:rFonts w:ascii="Arial" w:hAnsi="Arial" w:eastAsia="等线" w:cs="Arial"/>
                <w:b/>
                <w:sz w:val="22"/>
              </w:rPr>
              <w:t>非透光围护结构内表面无结露</w:t>
            </w:r>
            <w:r>
              <w:rPr>
                <w:rFonts w:ascii="Arial" w:hAnsi="Arial" w:eastAsia="等线" w:cs="Arial"/>
                <w:sz w:val="22"/>
              </w:rPr>
              <w:t>，符合室内设计温湿度下的绿建评价要求；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供暖期间，屋面、外墙内部保温材料重量湿度增量为0，远低于规范限值，</w:t>
            </w:r>
            <w:r>
              <w:rPr>
                <w:rFonts w:ascii="Arial" w:hAnsi="Arial" w:eastAsia="等线" w:cs="Arial"/>
                <w:b/>
                <w:sz w:val="22"/>
              </w:rPr>
              <w:t>无内部冷凝现象</w:t>
            </w:r>
            <w:r>
              <w:rPr>
                <w:rFonts w:ascii="Arial" w:hAnsi="Arial" w:eastAsia="等线" w:cs="Arial"/>
                <w:sz w:val="22"/>
              </w:rPr>
              <w:t>；</w:t>
            </w:r>
          </w:p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冷凝计算界面内侧蒸汽渗透阻实测值远大于规范计算限值，围护结构热工防潮设计完全合规，满足《建筑环境通用规范》《民用建筑热工设计规范》及绿色建筑评价相关规定。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13" w:name="_GoBack"/>
      <w:bookmarkEnd w:id="13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BDA7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2026-03-23T08:34:00Z</dcterms:created>
  <dc:creator>Apache POI</dc:creator>
  <cp:lastModifiedBy>hp</cp:lastModifiedBy>
  <dcterms:modified xsi:type="dcterms:W3CDTF">2026-03-23T08:35:36Z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