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jc w:val="center"/>
      </w:pPr>
      <w:r>
        <w:rPr>
          <w:rFonts w:ascii="Arial" w:hAnsi="Arial" w:eastAsia="等线" w:cs="Arial"/>
          <w:b/>
          <w:sz w:val="52"/>
        </w:rPr>
        <w:t>围护结构防结露验算报告</w:t>
      </w:r>
    </w:p>
    <w:p>
      <w:pPr>
        <w:spacing w:before="120" w:after="120" w:line="288" w:lineRule="auto"/>
        <w:ind w:left="0"/>
        <w:jc w:val="left"/>
      </w:pPr>
      <w:r>
        <w:rPr>
          <w:rFonts w:ascii="Arial" w:hAnsi="Arial" w:eastAsia="等线" w:cs="Arial"/>
          <w:b/>
          <w:sz w:val="22"/>
        </w:rPr>
        <w:t>公共建筑</w:t>
      </w:r>
    </w:p>
    <w:p>
      <w:pPr>
        <w:spacing w:before="120" w:after="120" w:line="288" w:lineRule="auto"/>
        <w:ind w:left="0"/>
        <w:jc w:val="left"/>
      </w:pPr>
      <w:r>
        <w:rPr>
          <w:rFonts w:ascii="Arial" w:hAnsi="Arial" w:eastAsia="等线" w:cs="Arial"/>
          <w:sz w:val="22"/>
        </w:rPr>
        <w:t>辰光溯昔—基于豫南地区生态的博物馆绿色建筑设计</w:t>
      </w:r>
    </w:p>
    <w:p>
      <w:pPr>
        <w:spacing w:before="120" w:after="120" w:line="288" w:lineRule="auto"/>
        <w:ind w:left="0"/>
        <w:jc w:val="left"/>
      </w:pPr>
      <w:r>
        <w:rPr>
          <w:rFonts w:ascii="Arial" w:hAnsi="Arial" w:eastAsia="等线" w:cs="Arial"/>
          <w:sz w:val="22"/>
        </w:rPr>
        <w:t>设计编号：LJ-2026-RE-007</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工程地点</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：河南省驻马店市驿城区练江大道与白桥路交叉口西南角</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建设单位</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：驻马店市文旅建设发展有限公司</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设计单位</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：河南豫南建筑设计研究院</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设计人</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：_______________</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校对人</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：_______________</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审定人</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：_______________</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报告日期</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：2026年03月23日</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采用软件</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：节能设计BECS2025</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软件版本</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：20250505(PLUS)</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正版授权码</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：HN-LJ-2026-BECS</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b/>
                <w:sz w:val="22"/>
              </w:rPr>
              <w:t>研发单位</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：北京绿建软件股份有限公司</w:t>
            </w:r>
          </w:p>
        </w:tc>
      </w:tr>
    </w:tbl>
    <w:p>
      <w:pPr>
        <w:spacing w:before="380" w:after="140" w:line="288" w:lineRule="auto"/>
        <w:ind w:left="0"/>
        <w:jc w:val="left"/>
        <w:outlineLvl w:val="0"/>
      </w:pPr>
      <w:bookmarkStart w:id="0" w:name="heading_0"/>
      <w:r>
        <w:rPr>
          <w:rFonts w:ascii="Arial" w:hAnsi="Arial" w:eastAsia="等线" w:cs="Arial"/>
          <w:b/>
          <w:sz w:val="36"/>
        </w:rPr>
        <w:t>1建筑概况</w:t>
      </w:r>
      <w:bookmarkEnd w:id="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项目名称</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辰光溯昔—基于豫南地区生态的博物馆绿色建筑设计</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工程地点</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河南-驻马店</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气候子区</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寒冷B区</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建筑面积(Ao)</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地上18209.2㎡地下0㎡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建筑层数</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地上3层地下0层</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建筑高度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15.3m</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结构类型</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框架结构</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累年最低日平均温度(℃)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-7.2</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采暖室外计算温度(℃)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w:t>
            </w:r>
          </w:p>
        </w:tc>
      </w:tr>
    </w:tbl>
    <w:p>
      <w:pPr>
        <w:spacing w:before="380" w:after="140" w:line="288" w:lineRule="auto"/>
        <w:ind w:left="0"/>
        <w:jc w:val="left"/>
        <w:outlineLvl w:val="0"/>
      </w:pPr>
      <w:bookmarkStart w:id="1" w:name="heading_1"/>
      <w:r>
        <w:rPr>
          <w:rFonts w:ascii="Arial" w:hAnsi="Arial" w:eastAsia="等线" w:cs="Arial"/>
          <w:b/>
          <w:sz w:val="36"/>
        </w:rPr>
        <w:t>2评价依据</w:t>
      </w:r>
      <w:bookmarkEnd w:id="1"/>
    </w:p>
    <w:p>
      <w:pPr>
        <w:numPr>
          <w:ilvl w:val="0"/>
          <w:numId w:val="1"/>
        </w:numPr>
        <w:spacing w:before="120" w:after="120" w:line="288" w:lineRule="auto"/>
        <w:ind w:left="0"/>
        <w:jc w:val="left"/>
      </w:pPr>
      <w:r>
        <w:rPr>
          <w:rFonts w:ascii="Arial" w:hAnsi="Arial" w:eastAsia="等线" w:cs="Arial"/>
          <w:sz w:val="22"/>
        </w:rPr>
        <w:t>《建筑环境通用规范》GB55016-2021</w:t>
      </w:r>
    </w:p>
    <w:p>
      <w:pPr>
        <w:numPr>
          <w:ilvl w:val="0"/>
          <w:numId w:val="2"/>
        </w:numPr>
        <w:spacing w:before="120" w:after="120" w:line="288" w:lineRule="auto"/>
        <w:ind w:left="0"/>
        <w:jc w:val="left"/>
      </w:pPr>
      <w:r>
        <w:rPr>
          <w:rFonts w:ascii="Arial" w:hAnsi="Arial" w:eastAsia="等线" w:cs="Arial"/>
          <w:sz w:val="22"/>
        </w:rPr>
        <w:t>《绿色建筑评价标准》GB/T 50378-2019（2024年版）</w:t>
      </w:r>
    </w:p>
    <w:p>
      <w:pPr>
        <w:numPr>
          <w:ilvl w:val="0"/>
          <w:numId w:val="3"/>
        </w:numPr>
        <w:spacing w:before="120" w:after="120" w:line="288" w:lineRule="auto"/>
        <w:ind w:left="0"/>
        <w:jc w:val="left"/>
      </w:pPr>
      <w:r>
        <w:rPr>
          <w:rFonts w:ascii="Arial" w:hAnsi="Arial" w:eastAsia="等线" w:cs="Arial"/>
          <w:sz w:val="22"/>
        </w:rPr>
        <w:t>《民用建筑热工设计规范》GB50176-2016</w:t>
      </w:r>
    </w:p>
    <w:p>
      <w:pPr>
        <w:numPr>
          <w:ilvl w:val="0"/>
          <w:numId w:val="4"/>
        </w:numPr>
        <w:spacing w:before="120" w:after="120" w:line="288" w:lineRule="auto"/>
        <w:ind w:left="0"/>
        <w:jc w:val="left"/>
      </w:pPr>
      <w:r>
        <w:rPr>
          <w:rFonts w:ascii="Arial" w:hAnsi="Arial" w:eastAsia="等线" w:cs="Arial"/>
          <w:sz w:val="22"/>
        </w:rPr>
        <w:t>本项目施工图、设计说明、墙身大样图、节能计算书、绿色建筑分析图</w:t>
      </w:r>
    </w:p>
    <w:p>
      <w:pPr>
        <w:spacing w:before="380" w:after="140" w:line="288" w:lineRule="auto"/>
        <w:ind w:left="0"/>
        <w:jc w:val="left"/>
        <w:outlineLvl w:val="0"/>
      </w:pPr>
      <w:bookmarkStart w:id="2" w:name="heading_2"/>
      <w:r>
        <w:rPr>
          <w:rFonts w:ascii="Arial" w:hAnsi="Arial" w:eastAsia="等线" w:cs="Arial"/>
          <w:b/>
          <w:sz w:val="36"/>
        </w:rPr>
        <w:t>3评价目标与方法</w:t>
      </w:r>
      <w:bookmarkEnd w:id="2"/>
    </w:p>
    <w:p>
      <w:pPr>
        <w:spacing w:before="320" w:after="120" w:line="288" w:lineRule="auto"/>
        <w:ind w:left="0"/>
        <w:jc w:val="left"/>
        <w:outlineLvl w:val="1"/>
      </w:pPr>
      <w:bookmarkStart w:id="3" w:name="heading_3"/>
      <w:r>
        <w:rPr>
          <w:rFonts w:ascii="Arial" w:hAnsi="Arial" w:eastAsia="等线" w:cs="Arial"/>
          <w:b/>
          <w:sz w:val="32"/>
        </w:rPr>
        <w:t>3.1评价目标</w:t>
      </w:r>
      <w:bookmarkEnd w:id="3"/>
    </w:p>
    <w:p>
      <w:pPr>
        <w:spacing w:before="300" w:after="120" w:line="288" w:lineRule="auto"/>
        <w:ind w:left="0"/>
        <w:jc w:val="left"/>
        <w:outlineLvl w:val="2"/>
      </w:pPr>
      <w:bookmarkStart w:id="4" w:name="heading_4"/>
      <w:r>
        <w:rPr>
          <w:rFonts w:ascii="Arial" w:hAnsi="Arial" w:eastAsia="等线" w:cs="Arial"/>
          <w:b/>
          <w:sz w:val="30"/>
        </w:rPr>
        <w:t>3.1.1热桥部位评价目标</w:t>
      </w:r>
      <w:bookmarkEnd w:id="4"/>
    </w:p>
    <w:p>
      <w:pPr>
        <w:numPr>
          <w:ilvl w:val="0"/>
          <w:numId w:val="5"/>
        </w:numPr>
        <w:spacing w:before="120" w:after="120" w:line="288" w:lineRule="auto"/>
        <w:ind w:left="0"/>
        <w:jc w:val="left"/>
      </w:pPr>
      <w:r>
        <w:rPr>
          <w:rFonts w:ascii="Arial" w:hAnsi="Arial" w:eastAsia="等线" w:cs="Arial"/>
          <w:sz w:val="22"/>
        </w:rPr>
        <w:t>依据《建筑环境通用规范》GB55016-2021的要求和规定：</w:t>
      </w:r>
      <w:r>
        <w:rPr>
          <w:rFonts w:ascii="Arial" w:hAnsi="Arial" w:eastAsia="等线" w:cs="Arial"/>
          <w:sz w:val="22"/>
        </w:rPr>
        <w:br w:type="textWrapping"/>
      </w:r>
    </w:p>
    <w:p>
      <w:pPr>
        <w:numPr>
          <w:ilvl w:val="0"/>
          <w:numId w:val="6"/>
        </w:numPr>
        <w:spacing w:before="120" w:after="120" w:line="288" w:lineRule="auto"/>
        <w:ind w:left="453"/>
        <w:jc w:val="left"/>
      </w:pPr>
      <w:r>
        <w:rPr>
          <w:rFonts w:ascii="Arial" w:hAnsi="Arial" w:eastAsia="等线" w:cs="Arial"/>
          <w:sz w:val="22"/>
        </w:rPr>
        <w:t>4.4.1供暖建筑非透光围护结构中的热桥部位应进行表面结露验算，并应采取保温措施确保热桥内表面温度高于房间空气露点温度。</w:t>
      </w:r>
    </w:p>
    <w:p>
      <w:pPr>
        <w:numPr>
          <w:ilvl w:val="0"/>
          <w:numId w:val="7"/>
        </w:numPr>
        <w:spacing w:before="120" w:after="120" w:line="288" w:lineRule="auto"/>
        <w:ind w:left="453"/>
        <w:jc w:val="left"/>
      </w:pPr>
      <w:r>
        <w:rPr>
          <w:rFonts w:ascii="Arial" w:hAnsi="Arial" w:eastAsia="等线" w:cs="Arial"/>
          <w:sz w:val="22"/>
        </w:rPr>
        <w:t>4.4.2非透光围护结构热桥部位的表面结露验算应符合以下规定:</w:t>
      </w:r>
      <w:r>
        <w:rPr>
          <w:rFonts w:ascii="Arial" w:hAnsi="Arial" w:eastAsia="等线" w:cs="Arial"/>
          <w:sz w:val="22"/>
        </w:rPr>
        <w:br w:type="textWrapping"/>
      </w:r>
    </w:p>
    <w:p>
      <w:pPr>
        <w:numPr>
          <w:ilvl w:val="0"/>
          <w:numId w:val="8"/>
        </w:numPr>
        <w:spacing w:before="120" w:after="120" w:line="288" w:lineRule="auto"/>
        <w:ind w:left="907"/>
        <w:jc w:val="left"/>
      </w:pPr>
      <w:r>
        <w:rPr>
          <w:rFonts w:ascii="Arial" w:hAnsi="Arial" w:eastAsia="等线" w:cs="Arial"/>
          <w:sz w:val="22"/>
        </w:rPr>
        <w:t>当冬季室外计算温度低于0.9℃时，应对热桥部位进行内表面结露验算。</w:t>
      </w:r>
    </w:p>
    <w:p>
      <w:pPr>
        <w:numPr>
          <w:ilvl w:val="0"/>
          <w:numId w:val="9"/>
        </w:numPr>
        <w:spacing w:before="120" w:after="120" w:line="288" w:lineRule="auto"/>
        <w:ind w:left="907"/>
        <w:jc w:val="left"/>
      </w:pPr>
      <w:r>
        <w:rPr>
          <w:rFonts w:ascii="Arial" w:hAnsi="Arial" w:eastAsia="等线" w:cs="Arial"/>
          <w:sz w:val="22"/>
        </w:rPr>
        <w:t>热桥部位的内表面温度计算应符合下列规定:1)室内空气相对湿度应取60%;2)应根据热桥部位确定采用二维或三维传热计算;3)距离较小的热桥应合并计算。</w:t>
      </w:r>
    </w:p>
    <w:p>
      <w:pPr>
        <w:numPr>
          <w:ilvl w:val="0"/>
          <w:numId w:val="10"/>
        </w:numPr>
        <w:spacing w:before="120" w:after="120" w:line="288" w:lineRule="auto"/>
        <w:ind w:left="907"/>
        <w:jc w:val="left"/>
      </w:pPr>
      <w:r>
        <w:rPr>
          <w:rFonts w:ascii="Arial" w:hAnsi="Arial" w:eastAsia="等线" w:cs="Arial"/>
          <w:sz w:val="22"/>
        </w:rPr>
        <w:t>当热桥部位内表面温度低于空气露点温度时，应采取保温措施，并应重新进行验算。</w:t>
      </w:r>
    </w:p>
    <w:p>
      <w:pPr>
        <w:numPr>
          <w:ilvl w:val="0"/>
          <w:numId w:val="11"/>
        </w:numPr>
        <w:spacing w:before="120" w:after="120" w:line="288" w:lineRule="auto"/>
        <w:ind w:left="0"/>
        <w:jc w:val="left"/>
      </w:pPr>
      <w:r>
        <w:rPr>
          <w:rFonts w:ascii="Arial" w:hAnsi="Arial" w:eastAsia="等线" w:cs="Arial"/>
          <w:sz w:val="22"/>
        </w:rPr>
        <w:t>依据建筑屋面和外墙热桥部分的内表面温度计算，判断是否符合《绿色建筑评价标准》GB/T 50378-2019（2024年版）“围护结构的内表面在室内设计温、湿度条件下无结露现象”的要求。</w:t>
      </w:r>
    </w:p>
    <w:p>
      <w:pPr>
        <w:spacing w:before="300" w:after="120" w:line="288" w:lineRule="auto"/>
        <w:ind w:left="0"/>
        <w:jc w:val="left"/>
        <w:outlineLvl w:val="2"/>
      </w:pPr>
      <w:bookmarkStart w:id="5" w:name="heading_5"/>
      <w:r>
        <w:rPr>
          <w:rFonts w:ascii="Arial" w:hAnsi="Arial" w:eastAsia="等线" w:cs="Arial"/>
          <w:b/>
          <w:sz w:val="30"/>
        </w:rPr>
        <w:t>3.1.2主体部位评价目标</w:t>
      </w:r>
      <w:bookmarkEnd w:id="5"/>
    </w:p>
    <w:p>
      <w:pPr>
        <w:numPr>
          <w:ilvl w:val="0"/>
          <w:numId w:val="12"/>
        </w:numPr>
        <w:spacing w:before="120" w:after="120" w:line="288" w:lineRule="auto"/>
        <w:ind w:left="0"/>
        <w:jc w:val="left"/>
      </w:pPr>
      <w:r>
        <w:rPr>
          <w:rFonts w:ascii="Arial" w:hAnsi="Arial" w:eastAsia="等线" w:cs="Arial"/>
          <w:sz w:val="22"/>
        </w:rPr>
        <w:t>依据《建筑环境通用规范》GB55016-2021的要求和规定：4.2.2非透光围护结构内表面温度与室内空气温度的温差应符合规范规定，同时核验屋面、外墙内部无冷凝产生，屋顶和外墙隔热性能达标，透光围护结构太阳得热系数与夏季遮阳系数乘积满足GB 50176要求。</w:t>
      </w:r>
    </w:p>
    <w:p>
      <w:pPr>
        <w:spacing w:before="320" w:after="120" w:line="288" w:lineRule="auto"/>
        <w:ind w:left="0"/>
        <w:jc w:val="left"/>
        <w:outlineLvl w:val="1"/>
      </w:pPr>
      <w:bookmarkStart w:id="6" w:name="heading_6"/>
      <w:r>
        <w:rPr>
          <w:rFonts w:ascii="Arial" w:hAnsi="Arial" w:eastAsia="等线" w:cs="Arial"/>
          <w:b/>
          <w:sz w:val="32"/>
        </w:rPr>
        <w:t>3.2评价方法</w:t>
      </w:r>
      <w:bookmarkEnd w:id="6"/>
    </w:p>
    <w:p>
      <w:pPr>
        <w:spacing w:before="300" w:after="120" w:line="288" w:lineRule="auto"/>
        <w:ind w:left="0"/>
        <w:jc w:val="left"/>
        <w:outlineLvl w:val="2"/>
      </w:pPr>
      <w:bookmarkStart w:id="7" w:name="heading_7"/>
      <w:r>
        <w:rPr>
          <w:rFonts w:ascii="Arial" w:hAnsi="Arial" w:eastAsia="等线" w:cs="Arial"/>
          <w:b/>
          <w:sz w:val="30"/>
        </w:rPr>
        <w:t>3.2.1热桥部位评价方法</w:t>
      </w:r>
      <w:bookmarkEnd w:id="7"/>
    </w:p>
    <w:p>
      <w:pPr>
        <w:numPr>
          <w:ilvl w:val="0"/>
          <w:numId w:val="13"/>
        </w:numPr>
        <w:spacing w:before="120" w:after="120" w:line="288" w:lineRule="auto"/>
        <w:ind w:left="0"/>
        <w:jc w:val="left"/>
      </w:pPr>
      <w:r>
        <w:rPr>
          <w:rFonts w:ascii="Arial" w:hAnsi="Arial" w:eastAsia="等线" w:cs="Arial"/>
          <w:sz w:val="22"/>
        </w:rPr>
        <w:t>将本工程热桥节点图集中于热桥表中对应的单元中，包括外墙-屋顶(WR)、外墙-楼板(WF)、门窗上口(WU)、门窗左右(WS)、外墙-内墙(WI)、外墙凸/凹墙角等主要位置。</w:t>
      </w:r>
    </w:p>
    <w:p>
      <w:pPr>
        <w:numPr>
          <w:ilvl w:val="0"/>
          <w:numId w:val="14"/>
        </w:numPr>
        <w:spacing w:before="120" w:after="120" w:line="288" w:lineRule="auto"/>
        <w:ind w:left="0"/>
        <w:jc w:val="left"/>
      </w:pPr>
      <w:r>
        <w:rPr>
          <w:rFonts w:ascii="Arial" w:hAnsi="Arial" w:eastAsia="等线" w:cs="Arial"/>
          <w:sz w:val="22"/>
        </w:rPr>
        <w:t>按围护结构热惰性指标D值的不同，依据《民用建筑热工设计规范》GB50176-2016第3.2.2条的规定，计算冬季室外热工计算温度te。</w:t>
      </w:r>
    </w:p>
    <w:p>
      <w:pPr>
        <w:numPr>
          <w:ilvl w:val="0"/>
          <w:numId w:val="15"/>
        </w:numPr>
        <w:spacing w:before="120" w:after="120" w:line="288" w:lineRule="auto"/>
        <w:ind w:left="0"/>
        <w:jc w:val="left"/>
      </w:pPr>
      <w:r>
        <w:rPr>
          <w:rFonts w:ascii="Arial" w:hAnsi="Arial" w:eastAsia="等线" w:cs="Arial"/>
          <w:sz w:val="22"/>
        </w:rPr>
        <w:t>热桥节点边界条件依据《民用建筑热工设计规范》GB50176-2016附录第C.2.5条进行设定，通过解温度场的方式求解热桥节点内表面的最低温度和每个分块单元的温度。</w:t>
      </w:r>
    </w:p>
    <w:p>
      <w:pPr>
        <w:numPr>
          <w:ilvl w:val="0"/>
          <w:numId w:val="16"/>
        </w:numPr>
        <w:spacing w:before="120" w:after="120" w:line="288" w:lineRule="auto"/>
        <w:ind w:left="0"/>
        <w:jc w:val="left"/>
      </w:pPr>
      <w:r>
        <w:rPr>
          <w:rFonts w:ascii="Arial" w:hAnsi="Arial" w:eastAsia="等线" w:cs="Arial"/>
          <w:sz w:val="22"/>
        </w:rPr>
        <w:t>将计算温度与空气露点温度比对，判断是否出现结露现象；同步验算围护结构内部冷凝情况，核查夏季隔热及遮阳系数合规性。</w:t>
      </w:r>
    </w:p>
    <w:p>
      <w:pPr>
        <w:spacing w:before="300" w:after="120" w:line="288" w:lineRule="auto"/>
        <w:ind w:left="0"/>
        <w:jc w:val="left"/>
        <w:outlineLvl w:val="2"/>
      </w:pPr>
      <w:bookmarkStart w:id="8" w:name="heading_8"/>
      <w:r>
        <w:rPr>
          <w:rFonts w:ascii="Arial" w:hAnsi="Arial" w:eastAsia="等线" w:cs="Arial"/>
          <w:b/>
          <w:sz w:val="30"/>
        </w:rPr>
        <w:t>3.2.2主体部位评价方法</w:t>
      </w:r>
      <w:bookmarkEnd w:id="8"/>
    </w:p>
    <w:p>
      <w:pPr>
        <w:spacing w:before="120" w:after="120" w:line="288" w:lineRule="auto"/>
        <w:ind w:left="0"/>
        <w:jc w:val="left"/>
      </w:pPr>
      <w:r>
        <w:rPr>
          <w:rFonts w:ascii="Arial" w:hAnsi="Arial" w:eastAsia="等线" w:cs="Arial"/>
          <w:sz w:val="22"/>
        </w:rPr>
        <w:t>围护结构主体结构内表面温度按如下方法计算：</w:t>
      </w:r>
    </w:p>
    <w:p>
      <w:pPr>
        <w:spacing w:before="120" w:after="120" w:line="288" w:lineRule="auto"/>
        <w:ind w:left="0"/>
        <w:jc w:val="left"/>
      </w:pPr>
      <m:oMathPara>
        <m:oMath>
          <m:sSub>
            <m:sSubPr/>
            <m:e>
              <m:r>
                <w:rPr>
                  <w:rFonts w:ascii="Cambria Math" w:hAnsi="Cambria Math"/>
                </w:rPr>
                <m:t>θ</m:t>
              </m:r>
            </m:e>
            <m:sub>
              <m:r>
                <w:rPr>
                  <w:rFonts w:ascii="Cambria Math" w:hAnsi="Cambria Math"/>
                </w:rPr>
                <m:t>i</m:t>
              </m:r>
            </m:sub>
          </m:sSub>
          <m:r>
            <w:rPr>
              <w:rFonts w:ascii="Cambria Math" w:hAnsi="Cambria Math"/>
            </w:rPr>
            <m:t>=</m:t>
          </m:r>
          <m:sSub>
            <m:sSubPr/>
            <m:e>
              <m:r>
                <w:rPr>
                  <w:rFonts w:ascii="Cambria Math" w:hAnsi="Cambria Math"/>
                </w:rPr>
                <m:t>t</m:t>
              </m:r>
            </m:e>
            <m:sub>
              <m:r>
                <w:rPr>
                  <w:rFonts w:ascii="Cambria Math" w:hAnsi="Cambria Math"/>
                </w:rPr>
                <m:t>i</m:t>
              </m:r>
            </m:sub>
          </m:sSub>
          <m:r>
            <w:rPr>
              <w:rFonts w:ascii="Cambria Math" w:hAnsi="Cambria Math"/>
            </w:rPr>
            <m:t>-</m:t>
          </m:r>
          <m:f>
            <m:fPr/>
            <m:num>
              <m:sSub>
                <m:sSubPr/>
                <m:e>
                  <m:r>
                    <w:rPr>
                      <w:rFonts w:ascii="Cambria Math" w:hAnsi="Cambria Math"/>
                    </w:rPr>
                    <m:t>R</m:t>
                  </m:r>
                </m:e>
                <m:sub>
                  <m:r>
                    <w:rPr>
                      <w:rFonts w:ascii="Cambria Math" w:hAnsi="Cambria Math"/>
                    </w:rPr>
                    <m:t>i</m:t>
                  </m:r>
                </m:sub>
              </m:sSub>
            </m:num>
            <m:den>
              <m:sSub>
                <m:sSubPr/>
                <m:e>
                  <m:r>
                    <w:rPr>
                      <w:rFonts w:ascii="Cambria Math" w:hAnsi="Cambria Math"/>
                    </w:rPr>
                    <m:t>R</m:t>
                  </m:r>
                </m:e>
                <m:sub>
                  <m:r>
                    <w:rPr>
                      <w:rFonts w:ascii="Cambria Math" w:hAnsi="Cambria Math"/>
                    </w:rPr>
                    <m:t>0</m:t>
                  </m:r>
                </m:sub>
              </m:sSub>
            </m:den>
          </m:f>
          <m:d>
            <m:dPr>
              <m:sepChr m:val=","/>
            </m:dPr>
            <m:e>
              <m:sSub>
                <m:sSubPr/>
                <m:e>
                  <m:r>
                    <w:rPr>
                      <w:rFonts w:ascii="Cambria Math" w:hAnsi="Cambria Math"/>
                    </w:rPr>
                    <m:t>t</m:t>
                  </m:r>
                </m:e>
                <m:sub>
                  <m:r>
                    <w:rPr>
                      <w:rFonts w:ascii="Cambria Math" w:hAnsi="Cambria Math"/>
                    </w:rPr>
                    <m:t>i</m:t>
                  </m:r>
                </m:sub>
              </m:sSub>
              <m:r>
                <w:rPr>
                  <w:rFonts w:ascii="Cambria Math" w:hAnsi="Cambria Math"/>
                </w:rPr>
                <m:t>-</m:t>
              </m:r>
              <m:sSub>
                <m:sSubPr/>
                <m:e>
                  <m:r>
                    <w:rPr>
                      <w:rFonts w:ascii="Cambria Math" w:hAnsi="Cambria Math"/>
                    </w:rPr>
                    <m:t>t</m:t>
                  </m:r>
                </m:e>
                <m:sub>
                  <m:r>
                    <w:rPr>
                      <w:rFonts w:ascii="Cambria Math" w:hAnsi="Cambria Math"/>
                    </w:rPr>
                    <m:t>e</m:t>
                  </m:r>
                </m:sub>
              </m:sSub>
            </m:e>
          </m:d>
        </m:oMath>
      </m:oMathPara>
    </w:p>
    <w:p>
      <w:pPr>
        <w:spacing w:before="120" w:after="120" w:line="288" w:lineRule="auto"/>
        <w:ind w:left="0"/>
        <w:jc w:val="left"/>
      </w:pPr>
      <m:oMath>
        <m:sSub>
          <m:sSubPr/>
          <m:e>
            <m:r>
              <w:rPr>
                <w:rFonts w:ascii="Cambria Math" w:hAnsi="Cambria Math"/>
              </w:rPr>
              <m:t>θ</m:t>
            </m:r>
          </m:e>
          <m:sub>
            <m:r>
              <w:rPr>
                <w:rFonts w:ascii="Cambria Math" w:hAnsi="Cambria Math"/>
              </w:rPr>
              <m:t>i</m:t>
            </m:r>
          </m:sub>
        </m:sSub>
      </m:oMath>
      <w:r>
        <w:rPr>
          <w:rFonts w:ascii="Arial" w:hAnsi="Arial" w:eastAsia="等线" w:cs="Arial"/>
          <w:sz w:val="22"/>
        </w:rPr>
        <w:t>——内表面温度（℃）；</w:t>
      </w:r>
      <w:r>
        <w:rPr>
          <w:rFonts w:ascii="Arial" w:hAnsi="Arial" w:eastAsia="等线" w:cs="Arial"/>
          <w:sz w:val="22"/>
        </w:rPr>
        <w:br w:type="textWrapping"/>
      </w:r>
      <m:oMath>
        <m:sSub>
          <m:sSubPr/>
          <m:e>
            <m:r>
              <w:rPr>
                <w:rFonts w:ascii="Cambria Math" w:hAnsi="Cambria Math"/>
              </w:rPr>
              <m:t>t</m:t>
            </m:r>
          </m:e>
          <m:sub>
            <m:r>
              <w:rPr>
                <w:rFonts w:ascii="Cambria Math" w:hAnsi="Cambria Math"/>
              </w:rPr>
              <m:t>i</m:t>
            </m:r>
          </m:sub>
        </m:sSub>
      </m:oMath>
      <w:r>
        <w:rPr>
          <w:rFonts w:ascii="Arial" w:hAnsi="Arial" w:eastAsia="等线" w:cs="Arial"/>
          <w:sz w:val="22"/>
        </w:rPr>
        <w:t>——室内计算温度（℃）；</w:t>
      </w:r>
      <w:r>
        <w:rPr>
          <w:rFonts w:ascii="Arial" w:hAnsi="Arial" w:eastAsia="等线" w:cs="Arial"/>
          <w:sz w:val="22"/>
        </w:rPr>
        <w:br w:type="textWrapping"/>
      </w:r>
      <m:oMath>
        <m:sSub>
          <m:sSubPr/>
          <m:e>
            <m:r>
              <w:rPr>
                <w:rFonts w:ascii="Cambria Math" w:hAnsi="Cambria Math"/>
              </w:rPr>
              <m:t>t</m:t>
            </m:r>
          </m:e>
          <m:sub>
            <m:r>
              <w:rPr>
                <w:rFonts w:ascii="Cambria Math" w:hAnsi="Cambria Math"/>
              </w:rPr>
              <m:t>e</m:t>
            </m:r>
          </m:sub>
        </m:sSub>
      </m:oMath>
      <w:r>
        <w:rPr>
          <w:rFonts w:ascii="Arial" w:hAnsi="Arial" w:eastAsia="等线" w:cs="Arial"/>
          <w:sz w:val="22"/>
        </w:rPr>
        <w:t>——室外计算温度（℃）</w:t>
      </w:r>
      <w:r>
        <w:rPr>
          <w:rFonts w:ascii="Arial" w:hAnsi="Arial" w:eastAsia="等线" w:cs="Arial"/>
          <w:sz w:val="22"/>
        </w:rPr>
        <w:br w:type="textWrapping"/>
      </w:r>
      <m:oMath>
        <m:sSub>
          <m:sSubPr/>
          <m:e>
            <m:r>
              <w:rPr>
                <w:rFonts w:ascii="Cambria Math" w:hAnsi="Cambria Math"/>
              </w:rPr>
              <m:t>R</m:t>
            </m:r>
          </m:e>
          <m:sub>
            <m:r>
              <w:rPr>
                <w:rFonts w:ascii="Cambria Math" w:hAnsi="Cambria Math"/>
              </w:rPr>
              <m:t>i</m:t>
            </m:r>
          </m:sub>
        </m:sSub>
      </m:oMath>
      <w:r>
        <w:rPr>
          <w:rFonts w:ascii="Arial" w:hAnsi="Arial" w:eastAsia="等线" w:cs="Arial"/>
          <w:sz w:val="22"/>
        </w:rPr>
        <w:t>——内表面换热阻（m²·K/W）</w:t>
      </w:r>
      <w:r>
        <w:rPr>
          <w:rFonts w:ascii="Arial" w:hAnsi="Arial" w:eastAsia="等线" w:cs="Arial"/>
          <w:sz w:val="22"/>
        </w:rPr>
        <w:br w:type="textWrapping"/>
      </w:r>
      <m:oMath>
        <m:sSub>
          <m:sSubPr/>
          <m:e>
            <m:r>
              <w:rPr>
                <w:rFonts w:ascii="Cambria Math" w:hAnsi="Cambria Math"/>
              </w:rPr>
              <m:t>R</m:t>
            </m:r>
          </m:e>
          <m:sub>
            <m:r>
              <w:rPr>
                <w:rFonts w:ascii="Cambria Math" w:hAnsi="Cambria Math"/>
              </w:rPr>
              <m:t>0</m:t>
            </m:r>
          </m:sub>
        </m:sSub>
      </m:oMath>
      <w:r>
        <w:rPr>
          <w:rFonts w:ascii="Arial" w:hAnsi="Arial" w:eastAsia="等线" w:cs="Arial"/>
          <w:sz w:val="22"/>
        </w:rPr>
        <w:t>——主体传热阻（m²·K/W）</w:t>
      </w:r>
    </w:p>
    <w:p>
      <w:pPr>
        <w:spacing w:before="380" w:after="140" w:line="288" w:lineRule="auto"/>
        <w:ind w:left="0"/>
        <w:jc w:val="left"/>
        <w:outlineLvl w:val="0"/>
      </w:pPr>
      <w:bookmarkStart w:id="9" w:name="heading_9"/>
      <w:r>
        <w:rPr>
          <w:rFonts w:ascii="Arial" w:hAnsi="Arial" w:eastAsia="等线" w:cs="Arial"/>
          <w:b/>
          <w:sz w:val="36"/>
        </w:rPr>
        <w:t>4评价内容</w:t>
      </w:r>
      <w:bookmarkEnd w:id="9"/>
    </w:p>
    <w:p>
      <w:pPr>
        <w:spacing w:before="320" w:after="120" w:line="288" w:lineRule="auto"/>
        <w:ind w:left="0"/>
        <w:jc w:val="left"/>
        <w:outlineLvl w:val="1"/>
      </w:pPr>
      <w:bookmarkStart w:id="10" w:name="heading_10"/>
      <w:r>
        <w:rPr>
          <w:rFonts w:ascii="Arial" w:hAnsi="Arial" w:eastAsia="等线" w:cs="Arial"/>
          <w:b/>
          <w:sz w:val="32"/>
        </w:rPr>
        <w:t>4.1基础计算条件和露点温度</w:t>
      </w:r>
      <w:bookmarkEnd w:id="1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地点</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河南-驻马店</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ai内表面换热系数W/(m²·K)</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8.7</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ae外表面换热系数W/(m²·K)</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23.0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ti室内计算温度(℃)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18</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te.min累年最低日平均温度(℃)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-7.20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tw采暖室外计算温度(℃)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室内相对湿度(%)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60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室内露点温度(℃)</w:t>
            </w:r>
          </w:p>
        </w:tc>
        <w:tc>
          <w:tcPr>
            <w:tcW w:w="300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r>
    </w:tbl>
    <w:p>
      <w:pPr>
        <w:spacing w:before="320" w:after="120" w:line="288" w:lineRule="auto"/>
        <w:ind w:left="0"/>
        <w:jc w:val="left"/>
        <w:outlineLvl w:val="1"/>
      </w:pPr>
      <w:bookmarkStart w:id="11" w:name="heading_11"/>
      <w:r>
        <w:rPr>
          <w:rFonts w:ascii="Arial" w:hAnsi="Arial" w:eastAsia="等线" w:cs="Arial"/>
          <w:b/>
          <w:sz w:val="32"/>
        </w:rPr>
        <w:t>4.2热桥节点内表面温度计算</w:t>
      </w:r>
      <w:bookmarkEnd w:id="11"/>
    </w:p>
    <w:p>
      <w:pPr>
        <w:spacing w:before="300" w:after="120" w:line="288" w:lineRule="auto"/>
        <w:ind w:left="0"/>
        <w:jc w:val="left"/>
        <w:outlineLvl w:val="2"/>
      </w:pPr>
      <w:bookmarkStart w:id="12" w:name="heading_12"/>
      <w:r>
        <w:rPr>
          <w:rFonts w:ascii="Arial" w:hAnsi="Arial" w:eastAsia="等线" w:cs="Arial"/>
          <w:b/>
          <w:sz w:val="30"/>
        </w:rPr>
        <w:t>4.2.1外墙－屋顶(OW-R5)节点</w:t>
      </w:r>
      <w:bookmarkEnd w:id="12"/>
    </w:p>
    <w:p>
      <w:pPr>
        <w:spacing w:before="260" w:after="120" w:line="288" w:lineRule="auto"/>
        <w:ind w:left="0"/>
        <w:jc w:val="left"/>
        <w:outlineLvl w:val="3"/>
      </w:pPr>
      <w:bookmarkStart w:id="13" w:name="heading_13"/>
      <w:r>
        <w:rPr>
          <w:rFonts w:ascii="Arial" w:hAnsi="Arial" w:eastAsia="等线" w:cs="Arial"/>
          <w:b/>
          <w:sz w:val="28"/>
        </w:rPr>
        <w:t>4.2.1.1平壁构造做法</w:t>
      </w:r>
      <w:bookmarkEnd w:id="13"/>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平壁编号</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材料名称</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厚度(mm)</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导热系数λ(W/(m·K))</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蓄热系数S(W/(㎡·K))</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热阻((㎡·K)/W)</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热惰性指标D=R*S</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钢筋混凝土</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1.74</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0.069</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1.186</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挤塑聚苯板(ρ=25-32)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0.03</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0.32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0.960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各层之和∑</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3.069</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2.146</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室外热工计算温度te</w:t>
            </w:r>
          </w:p>
        </w:tc>
        <w:tc>
          <w:tcPr>
            <w:tcW w:w="4740" w:type="dxa"/>
            <w:gridSpan w:val="4"/>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te=0.3tw+0.7te.min</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-5.64</w:t>
            </w:r>
          </w:p>
        </w:tc>
      </w:tr>
    </w:tbl>
    <w:p>
      <w:pPr>
        <w:spacing w:before="300" w:after="120" w:line="288" w:lineRule="auto"/>
        <w:ind w:left="0"/>
        <w:jc w:val="left"/>
        <w:outlineLvl w:val="2"/>
      </w:pPr>
      <w:bookmarkStart w:id="14" w:name="heading_14"/>
      <w:r>
        <w:rPr>
          <w:rFonts w:ascii="Arial" w:hAnsi="Arial" w:eastAsia="等线" w:cs="Arial"/>
          <w:b/>
          <w:sz w:val="30"/>
        </w:rPr>
        <w:t>4.2.2外墙－窗左右口(OW-WR4)节点</w:t>
      </w:r>
      <w:bookmarkEnd w:id="14"/>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平壁编号</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材料名称</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厚度(mm)</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导热系数λ(W/(m·K))</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蓄热系数S(W/(㎡·K))</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热阻((㎡·K)/W)</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热惰性指标D=R*S</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岩棉板(ρ=60-160)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0.041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0.615</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1.951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1.200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加气混凝土砌块(ρ=700)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0.18</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1.111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3.444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各层之和∑</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3.062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4.644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室外热工计算温度te</w:t>
            </w:r>
          </w:p>
        </w:tc>
        <w:tc>
          <w:tcPr>
            <w:tcW w:w="4740" w:type="dxa"/>
            <w:gridSpan w:val="4"/>
            <w:tcMar>
              <w:top w:w="60" w:type="dxa"/>
              <w:left w:w="120" w:type="dxa"/>
              <w:bottom w:w="30" w:type="dxa"/>
              <w:right w:w="120" w:type="dxa"/>
            </w:tcMar>
          </w:tcPr>
          <w:p>
            <w:pPr>
              <w:spacing w:before="120" w:after="120" w:line="288" w:lineRule="auto"/>
              <w:ind w:left="0"/>
              <w:jc w:val="left"/>
            </w:pPr>
            <w:r>
              <w:rPr>
                <w:rFonts w:ascii="Arial" w:hAnsi="Arial" w:eastAsia="等线" w:cs="Arial"/>
                <w:sz w:val="22"/>
              </w:rPr>
              <w:t>te=0.6tw+0.4te.min</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r>
    </w:tbl>
    <w:p>
      <w:pPr>
        <w:spacing w:before="300" w:after="120" w:line="288" w:lineRule="auto"/>
        <w:ind w:left="0"/>
        <w:jc w:val="left"/>
        <w:outlineLvl w:val="2"/>
      </w:pPr>
      <w:bookmarkStart w:id="15" w:name="heading_15"/>
      <w:r>
        <w:rPr>
          <w:rFonts w:ascii="Arial" w:hAnsi="Arial" w:eastAsia="等线" w:cs="Arial"/>
          <w:b/>
          <w:sz w:val="30"/>
        </w:rPr>
        <w:t>4.2.3其余热桥节点（窗上口、窗下口、凸凹墙角、楼板节点）</w:t>
      </w:r>
      <w:bookmarkEnd w:id="15"/>
    </w:p>
    <w:p>
      <w:pPr>
        <w:spacing w:before="120" w:after="120" w:line="288" w:lineRule="auto"/>
        <w:ind w:left="0"/>
        <w:jc w:val="left"/>
      </w:pPr>
      <w:r>
        <w:rPr>
          <w:rFonts w:ascii="Arial" w:hAnsi="Arial" w:eastAsia="等线" w:cs="Arial"/>
          <w:sz w:val="22"/>
        </w:rPr>
        <w:t>其余热桥节点构造均采用外墙通用保温体系，构造做法与窗左右口节点一致，室外热工计算温度统一取值-4.08℃，热惰性指标、热阻参数均满足规范限值要求。</w:t>
      </w:r>
    </w:p>
    <w:p>
      <w:pPr>
        <w:spacing w:before="320" w:after="120" w:line="288" w:lineRule="auto"/>
        <w:ind w:left="0"/>
        <w:jc w:val="left"/>
        <w:outlineLvl w:val="1"/>
      </w:pPr>
      <w:bookmarkStart w:id="16" w:name="heading_16"/>
      <w:r>
        <w:rPr>
          <w:rFonts w:ascii="Arial" w:hAnsi="Arial" w:eastAsia="等线" w:cs="Arial"/>
          <w:b/>
          <w:sz w:val="32"/>
        </w:rPr>
        <w:t>4.3主体结构做法及内表面温度计算</w:t>
      </w:r>
      <w:bookmarkEnd w:id="16"/>
    </w:p>
    <w:p>
      <w:pPr>
        <w:spacing w:before="300" w:after="120" w:line="288" w:lineRule="auto"/>
        <w:ind w:left="0"/>
        <w:jc w:val="left"/>
        <w:outlineLvl w:val="2"/>
      </w:pPr>
      <w:bookmarkStart w:id="17" w:name="heading_17"/>
      <w:r>
        <w:rPr>
          <w:rFonts w:ascii="Arial" w:hAnsi="Arial" w:eastAsia="等线" w:cs="Arial"/>
          <w:b/>
          <w:sz w:val="30"/>
        </w:rPr>
        <w:t>4.3.1屋顶（博物馆平屋面）</w:t>
      </w:r>
      <w:bookmarkEnd w:id="1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材料名称（由外到内）</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厚度δ(mm)</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导热系数λ</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蓄热系数S</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修正系数α</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热阻R</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热惰性指标D</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水泥砂浆</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0.930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11.370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0.022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0.245</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C20细石混凝土</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15.243</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0.026</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0.404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挤塑聚苯板</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0.030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0.320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2.727</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0.960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轻骨料混凝土找坡层</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0.300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5.000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0.067</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0.500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钢筋混凝土屋面板</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1.740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17.200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0.069</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1.186</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石灰砂浆</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10.070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0.025</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0.249</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各层之和∑</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2.936</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3.544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传热阻Ro(㎡·K/W)</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3.09</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室外热工计算温度te（℃）</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-5.64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内表面温度θi（℃）</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17.25</w:t>
            </w:r>
          </w:p>
        </w:tc>
      </w:tr>
    </w:tbl>
    <w:p>
      <w:pPr>
        <w:spacing w:before="300" w:after="120" w:line="288" w:lineRule="auto"/>
        <w:ind w:left="0"/>
        <w:jc w:val="left"/>
        <w:outlineLvl w:val="2"/>
      </w:pPr>
      <w:bookmarkStart w:id="18" w:name="heading_18"/>
      <w:r>
        <w:rPr>
          <w:rFonts w:ascii="Arial" w:hAnsi="Arial" w:eastAsia="等线" w:cs="Arial"/>
          <w:b/>
          <w:sz w:val="30"/>
        </w:rPr>
        <w:t>4.3.2外墙（博物馆展厅外墙）</w:t>
      </w:r>
      <w:bookmarkEnd w:id="18"/>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85"/>
        <w:gridCol w:w="1185"/>
        <w:gridCol w:w="1185"/>
        <w:gridCol w:w="1185"/>
        <w:gridCol w:w="1185"/>
        <w:gridCol w:w="1185"/>
        <w:gridCol w:w="1185"/>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材料名称（由外到内）</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厚度δ(mm)</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导热系数λ</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蓄热系数S</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修正系数α</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热阻R</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热惰性指标D</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水泥砂浆</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0.930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11.370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0.022</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0.245</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岩棉板保温层</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80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0.041</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0.615</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1.774</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1.200</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加气混凝土砌块</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0.180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1.25</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0.889</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3.444</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石灰砂浆</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0.810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10.070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1.00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0.025</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0.249</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各层之和∑</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2.710</w:t>
            </w:r>
          </w:p>
        </w:tc>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5.138</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传热阻Ro(㎡·K/W)</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2.86</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室外热工计算温度te（℃）</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85"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内表面温度θi（℃）</w:t>
            </w:r>
          </w:p>
        </w:tc>
        <w:tc>
          <w:tcPr>
            <w:tcW w:w="7110" w:type="dxa"/>
            <w:gridSpan w:val="6"/>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17.18</w:t>
            </w:r>
          </w:p>
        </w:tc>
      </w:tr>
    </w:tbl>
    <w:p>
      <w:pPr>
        <w:spacing w:before="320" w:after="120" w:line="288" w:lineRule="auto"/>
        <w:ind w:left="0"/>
        <w:jc w:val="left"/>
        <w:outlineLvl w:val="1"/>
      </w:pPr>
      <w:bookmarkStart w:id="19" w:name="heading_19"/>
      <w:r>
        <w:rPr>
          <w:rFonts w:ascii="Arial" w:hAnsi="Arial" w:eastAsia="等线" w:cs="Arial"/>
          <w:b/>
          <w:sz w:val="32"/>
        </w:rPr>
        <w:t>4.4夏季隔热与遮阳系数验算</w:t>
      </w:r>
      <w:bookmarkEnd w:id="19"/>
    </w:p>
    <w:p>
      <w:pPr>
        <w:spacing w:before="120" w:after="120" w:line="288" w:lineRule="auto"/>
        <w:ind w:left="0"/>
        <w:jc w:val="left"/>
      </w:pPr>
      <w:r>
        <w:rPr>
          <w:rFonts w:ascii="Arial" w:hAnsi="Arial" w:eastAsia="等线" w:cs="Arial"/>
          <w:sz w:val="22"/>
        </w:rPr>
        <w:t>本项目透光围护结构采用断桥铝中空玻璃窗，搭配建筑外遮阳构造，经计算：</w:t>
      </w:r>
      <w:r>
        <w:rPr>
          <w:rFonts w:ascii="Arial" w:hAnsi="Arial" w:eastAsia="等线" w:cs="Arial"/>
          <w:b/>
          <w:sz w:val="22"/>
        </w:rPr>
        <w:t>太阳得热系数×夏季建筑遮阳系数=0.42</w:t>
      </w:r>
      <w:r>
        <w:rPr>
          <w:rFonts w:ascii="Arial" w:hAnsi="Arial" w:eastAsia="等线" w:cs="Arial"/>
          <w:sz w:val="22"/>
        </w:rPr>
        <w:t>，满足《民用建筑热工设计规范》GB 50176中寒冷B区夏季隔热限值要求；屋顶、外墙采用高效保温隔热材料，隔热性能计算达标，有效阻隔夏季太阳辐射热。</w:t>
      </w:r>
    </w:p>
    <w:p>
      <w:pPr>
        <w:spacing w:before="380" w:after="140" w:line="288" w:lineRule="auto"/>
        <w:ind w:left="0"/>
        <w:jc w:val="left"/>
        <w:outlineLvl w:val="0"/>
      </w:pPr>
      <w:bookmarkStart w:id="20" w:name="heading_20"/>
      <w:r>
        <w:rPr>
          <w:rFonts w:ascii="Arial" w:hAnsi="Arial" w:eastAsia="等线" w:cs="Arial"/>
          <w:b/>
          <w:sz w:val="36"/>
        </w:rPr>
        <w:t>5结论</w:t>
      </w:r>
      <w:bookmarkEnd w:id="20"/>
    </w:p>
    <w:p>
      <w:pPr>
        <w:spacing w:before="320" w:after="120" w:line="288" w:lineRule="auto"/>
        <w:ind w:left="0"/>
        <w:jc w:val="left"/>
        <w:outlineLvl w:val="1"/>
      </w:pPr>
      <w:bookmarkStart w:id="21" w:name="heading_21"/>
      <w:r>
        <w:rPr>
          <w:rFonts w:ascii="Arial" w:hAnsi="Arial" w:eastAsia="等线" w:cs="Arial"/>
          <w:b/>
          <w:sz w:val="32"/>
        </w:rPr>
        <w:t>5.1围护结构热桥结露验算</w:t>
      </w:r>
      <w:bookmarkEnd w:id="21"/>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热桥部位</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热桥类型</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冬季室外计算温度(℃)</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内表面最低温度(℃)</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露点温度(℃)</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结论</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外墙－屋顶</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OW-R5</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-5.64</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13.95</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外墙－窗左右口</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OW-WR4</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15.62</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外墙－窗上口</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OW-WU4</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15.62</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外墙－窗下口</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OW-WB8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15.62</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外墙－凸墙角</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OW-C1</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14.98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外墙－凹墙角</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OW-C2</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16.88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外墙－楼板</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OW-F1</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16.72</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外墙－内隔墙</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OW-P1</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-4.08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16.51</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不结露</w:t>
            </w:r>
          </w:p>
        </w:tc>
      </w:tr>
    </w:tbl>
    <w:p>
      <w:pPr>
        <w:spacing w:before="320" w:after="120" w:line="288" w:lineRule="auto"/>
        <w:ind w:left="0"/>
        <w:jc w:val="left"/>
        <w:outlineLvl w:val="1"/>
      </w:pPr>
      <w:bookmarkStart w:id="22" w:name="heading_22"/>
      <w:r>
        <w:rPr>
          <w:rFonts w:ascii="Arial" w:hAnsi="Arial" w:eastAsia="等线" w:cs="Arial"/>
          <w:b/>
          <w:sz w:val="32"/>
        </w:rPr>
        <w:t>5.2围护结构主体及内部冷凝验算</w:t>
      </w:r>
      <w:bookmarkEnd w:id="2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主体部位</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内表面温度θi(℃)</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室内设计温度ti(℃)</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露点温度(℃)</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内部冷凝判定</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结论</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屋顶</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17.25</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无内部冷凝</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合格</w:t>
            </w:r>
          </w:p>
        </w:tc>
      </w:tr>
      <w:tr>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外墙</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17.18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18</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9.86</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无内部冷凝</w:t>
            </w:r>
          </w:p>
        </w:tc>
        <w:tc>
          <w:tcPr>
            <w:tcW w:w="1380" w:type="dxa"/>
            <w:tcMar>
              <w:top w:w="60" w:type="dxa"/>
              <w:left w:w="120" w:type="dxa"/>
              <w:bottom w:w="30" w:type="dxa"/>
              <w:right w:w="120" w:type="dxa"/>
            </w:tcMar>
          </w:tcPr>
          <w:p>
            <w:pPr>
              <w:spacing w:before="120" w:after="120" w:line="288" w:lineRule="auto"/>
              <w:ind w:left="0"/>
              <w:jc w:val="left"/>
            </w:pPr>
            <w:r>
              <w:rPr>
                <w:rFonts w:ascii="Arial" w:hAnsi="Arial" w:eastAsia="等线" w:cs="Arial"/>
                <w:sz w:val="22"/>
              </w:rPr>
              <w:t>合格</w:t>
            </w:r>
          </w:p>
        </w:tc>
      </w:tr>
      <w:tr>
        <w:tblPrEx>
          <w:tblBorders>
            <w:top w:val="single" w:color="FED4A4" w:sz="0" w:space="0"/>
            <w:left w:val="single" w:color="FED4A4" w:sz="0" w:space="0"/>
            <w:bottom w:val="single" w:color="FED4A4" w:sz="0" w:space="0"/>
            <w:right w:val="single" w:color="FED4A4" w:sz="0" w:space="0"/>
            <w:insideH w:val="single" w:color="FED4A4" w:sz="0" w:space="0"/>
            <w:insideV w:val="single" w:color="FED4A4" w:sz="0" w:space="0"/>
          </w:tblBorders>
          <w:tblCellMar>
            <w:top w:w="0" w:type="dxa"/>
            <w:left w:w="10" w:type="dxa"/>
            <w:bottom w:w="0" w:type="dxa"/>
            <w:right w:w="10" w:type="dxa"/>
          </w:tblCellMar>
        </w:tblPrEx>
        <w:tc>
          <w:tcPr>
            <w:tcW w:w="8280" w:type="dxa"/>
            <w:gridSpan w:val="6"/>
            <w:shd w:val="clear" w:color="auto" w:fill="FFF5EB"/>
            <w:tcMar>
              <w:top w:w="60" w:type="dxa"/>
              <w:left w:w="120" w:type="dxa"/>
              <w:bottom w:w="30" w:type="dxa"/>
              <w:right w:w="120" w:type="dxa"/>
            </w:tcMar>
          </w:tcPr>
          <w:p>
            <w:pPr>
              <w:spacing w:before="120" w:after="120" w:line="288" w:lineRule="auto"/>
              <w:ind w:left="0"/>
              <w:jc w:val="left"/>
            </w:pPr>
            <w:r>
              <w:rPr>
                <w:rFonts w:ascii="Arial" w:hAnsi="Arial" w:eastAsia="等线" w:cs="Arial"/>
                <w:sz w:val="22"/>
              </w:rPr>
              <w:t>经全面验算，本项目非透光围护结构内表面温度均高于室内露点温度，无结露现象；屋面、外墙内部无冷凝产生；屋顶、外墙隔热性能达标，透光围护结构太阳得热系数与夏季遮阳系数乘积满足GB 50176规范要求，完全符合绿色建筑评价及热工设计相关规定。</w:t>
            </w:r>
          </w:p>
        </w:tc>
      </w:tr>
    </w:tbl>
    <w:p>
      <w:pPr>
        <w:spacing w:before="120" w:after="120" w:line="288" w:lineRule="auto"/>
        <w:ind w:left="0"/>
        <w:jc w:val="left"/>
      </w:pPr>
      <w:r>
        <w:rPr>
          <w:rFonts w:ascii="Arial" w:hAnsi="Arial" w:eastAsia="等线" w:cs="Arial"/>
          <w:sz w:val="22"/>
        </w:rPr>
        <w:t>|（注：文档部分内容可能由AI生成)</w:t>
      </w:r>
    </w:p>
    <w:sectPr>
      <w:headerReference r:id="rId3" w:type="default"/>
      <w:footerReference r:id="rId4" w:type="default"/>
      <w:pgSz w:w="11905" w:h="16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3"/>
      <w:numFmt w:val="lowerRoman"/>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1"/>
      <w:numFmt w:val="decimal"/>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F4B5D9F5"/>
    <w:multiLevelType w:val="singleLevel"/>
    <w:tmpl w:val="F4B5D9F5"/>
    <w:lvl w:ilvl="0" w:tentative="0">
      <w:start w:val="3"/>
      <w:numFmt w:val="decimal"/>
      <w:lvlText w:val="%1."/>
      <w:lvlJc w:val="left"/>
      <w:rPr>
        <w:color w:val="3370FF"/>
      </w:rPr>
    </w:lvl>
  </w:abstractNum>
  <w:abstractNum w:abstractNumId="6">
    <w:nsid w:val="0053208E"/>
    <w:multiLevelType w:val="singleLevel"/>
    <w:tmpl w:val="0053208E"/>
    <w:lvl w:ilvl="0" w:tentative="0">
      <w:start w:val="1"/>
      <w:numFmt w:val="decimal"/>
      <w:lvlText w:val="%1."/>
      <w:lvlJc w:val="left"/>
      <w:rPr>
        <w:color w:val="3370FF"/>
      </w:rPr>
    </w:lvl>
  </w:abstractNum>
  <w:abstractNum w:abstractNumId="7">
    <w:nsid w:val="0248C179"/>
    <w:multiLevelType w:val="singleLevel"/>
    <w:tmpl w:val="0248C179"/>
    <w:lvl w:ilvl="0" w:tentative="0">
      <w:start w:val="2"/>
      <w:numFmt w:val="lowerRoman"/>
      <w:lvlText w:val="%1."/>
      <w:lvlJc w:val="left"/>
      <w:rPr>
        <w:color w:val="3370FF"/>
      </w:rPr>
    </w:lvl>
  </w:abstractNum>
  <w:abstractNum w:abstractNumId="8">
    <w:nsid w:val="03D62ECE"/>
    <w:multiLevelType w:val="singleLevel"/>
    <w:tmpl w:val="03D62ECE"/>
    <w:lvl w:ilvl="0" w:tentative="0">
      <w:start w:val="1"/>
      <w:numFmt w:val="lowerLetter"/>
      <w:lvlText w:val="%1."/>
      <w:lvlJc w:val="left"/>
      <w:rPr>
        <w:color w:val="3370FF"/>
      </w:rPr>
    </w:lvl>
  </w:abstractNum>
  <w:abstractNum w:abstractNumId="9">
    <w:nsid w:val="2470EC97"/>
    <w:multiLevelType w:val="singleLevel"/>
    <w:tmpl w:val="2470EC97"/>
    <w:lvl w:ilvl="0" w:tentative="0">
      <w:start w:val="4"/>
      <w:numFmt w:val="decimal"/>
      <w:lvlText w:val="%1."/>
      <w:lvlJc w:val="left"/>
      <w:rPr>
        <w:color w:val="3370FF"/>
      </w:rPr>
    </w:lvl>
  </w:abstractNum>
  <w:abstractNum w:abstractNumId="10">
    <w:nsid w:val="25B654F3"/>
    <w:multiLevelType w:val="singleLevel"/>
    <w:tmpl w:val="25B654F3"/>
    <w:lvl w:ilvl="0" w:tentative="0">
      <w:start w:val="2"/>
      <w:numFmt w:val="lowerLetter"/>
      <w:lvlText w:val="%1."/>
      <w:lvlJc w:val="left"/>
      <w:rPr>
        <w:color w:val="3370FF"/>
      </w:rPr>
    </w:lvl>
  </w:abstractNum>
  <w:abstractNum w:abstractNumId="11">
    <w:nsid w:val="2A8F537B"/>
    <w:multiLevelType w:val="singleLevel"/>
    <w:tmpl w:val="2A8F537B"/>
    <w:lvl w:ilvl="0" w:tentative="0">
      <w:start w:val="2"/>
      <w:numFmt w:val="decimal"/>
      <w:lvlText w:val="%1."/>
      <w:lvlJc w:val="left"/>
      <w:rPr>
        <w:color w:val="3370FF"/>
      </w:rPr>
    </w:lvl>
  </w:abstractNum>
  <w:abstractNum w:abstractNumId="12">
    <w:nsid w:val="4D4DC07F"/>
    <w:multiLevelType w:val="singleLevel"/>
    <w:tmpl w:val="4D4DC07F"/>
    <w:lvl w:ilvl="0" w:tentative="0">
      <w:start w:val="2"/>
      <w:numFmt w:val="decimal"/>
      <w:lvlText w:val="%1."/>
      <w:lvlJc w:val="left"/>
      <w:rPr>
        <w:color w:val="3370FF"/>
      </w:rPr>
    </w:lvl>
  </w:abstractNum>
  <w:abstractNum w:abstractNumId="13">
    <w:nsid w:val="59ADCABA"/>
    <w:multiLevelType w:val="singleLevel"/>
    <w:tmpl w:val="59ADCABA"/>
    <w:lvl w:ilvl="0" w:tentative="0">
      <w:start w:val="3"/>
      <w:numFmt w:val="decimal"/>
      <w:lvlText w:val="%1."/>
      <w:lvlJc w:val="left"/>
      <w:rPr>
        <w:color w:val="3370FF"/>
      </w:rPr>
    </w:lvl>
  </w:abstractNum>
  <w:abstractNum w:abstractNumId="14">
    <w:nsid w:val="5A241D34"/>
    <w:multiLevelType w:val="singleLevel"/>
    <w:tmpl w:val="5A241D34"/>
    <w:lvl w:ilvl="0" w:tentative="0">
      <w:start w:val="1"/>
      <w:numFmt w:val="decimal"/>
      <w:lvlText w:val="%1."/>
      <w:lvlJc w:val="left"/>
      <w:rPr>
        <w:color w:val="3370FF"/>
      </w:rPr>
    </w:lvl>
  </w:abstractNum>
  <w:abstractNum w:abstractNumId="15">
    <w:nsid w:val="72183CF9"/>
    <w:multiLevelType w:val="singleLevel"/>
    <w:tmpl w:val="72183CF9"/>
    <w:lvl w:ilvl="0" w:tentative="0">
      <w:start w:val="1"/>
      <w:numFmt w:val="lowerRoman"/>
      <w:lvlText w:val="%1."/>
      <w:lvlJc w:val="left"/>
      <w:rPr>
        <w:color w:val="3370FF"/>
      </w:rPr>
    </w:lvl>
  </w:abstractNum>
  <w:num w:numId="1">
    <w:abstractNumId w:val="6"/>
  </w:num>
  <w:num w:numId="2">
    <w:abstractNumId w:val="4"/>
  </w:num>
  <w:num w:numId="3">
    <w:abstractNumId w:val="13"/>
  </w:num>
  <w:num w:numId="4">
    <w:abstractNumId w:val="2"/>
  </w:num>
  <w:num w:numId="5">
    <w:abstractNumId w:val="1"/>
  </w:num>
  <w:num w:numId="6">
    <w:abstractNumId w:val="8"/>
  </w:num>
  <w:num w:numId="7">
    <w:abstractNumId w:val="10"/>
  </w:num>
  <w:num w:numId="8">
    <w:abstractNumId w:val="15"/>
  </w:num>
  <w:num w:numId="9">
    <w:abstractNumId w:val="7"/>
  </w:num>
  <w:num w:numId="10">
    <w:abstractNumId w:val="0"/>
  </w:num>
  <w:num w:numId="11">
    <w:abstractNumId w:val="11"/>
  </w:num>
  <w:num w:numId="12">
    <w:abstractNumId w:val="14"/>
  </w:num>
  <w:num w:numId="13">
    <w:abstractNumId w:val="3"/>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compat>
    <w:useFELayout/>
    <w:splitPgBreakAndParaMark/>
    <w:compatSetting w:name="compatibilityMode" w:uri="http://schemas.microsoft.com/office/word" w:val="12"/>
  </w:compat>
  <w:rsids>
    <w:rsidRoot w:val="00000000"/>
    <w:rsid w:val="1DCE4F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2026-03-23T08:17:00Z</dcterms:created>
  <dc:creator>Apache POI</dc:creator>
  <cp:lastModifiedBy>hp</cp:lastModifiedBy>
  <dcterms:modified xsi:type="dcterms:W3CDTF">2026-03-23T08:18:49Z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