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80" w:after="480" w:line="288" w:lineRule="auto"/>
        <w:ind w:left="0"/>
        <w:jc w:val="center"/>
      </w:pPr>
      <w:r>
        <w:rPr>
          <w:rFonts w:ascii="Arial" w:hAnsi="Arial" w:eastAsia="等线" w:cs="Arial"/>
          <w:b/>
          <w:sz w:val="52"/>
        </w:rPr>
        <w:t>地面停车率计算书</w:t>
      </w:r>
    </w:p>
    <w:p>
      <w:pPr>
        <w:spacing w:before="380" w:after="140" w:line="288" w:lineRule="auto"/>
        <w:ind w:left="0"/>
        <w:jc w:val="left"/>
        <w:outlineLvl w:val="0"/>
      </w:pPr>
      <w:bookmarkStart w:id="0" w:name="heading_0"/>
      <w:r>
        <w:rPr>
          <w:rFonts w:ascii="Arial" w:hAnsi="Arial" w:eastAsia="等线" w:cs="Arial"/>
          <w:b/>
          <w:sz w:val="36"/>
        </w:rPr>
        <w:t>1项目概况</w:t>
      </w:r>
      <w:bookmarkEnd w:id="0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项目名称</w:t>
      </w:r>
      <w:r>
        <w:rPr>
          <w:rFonts w:ascii="Arial" w:hAnsi="Arial" w:eastAsia="等线" w:cs="Arial"/>
          <w:sz w:val="22"/>
        </w:rPr>
        <w:t>：辰光溯昔—基于豫南地区生态的博物馆绿色建筑设计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建设地点</w:t>
      </w:r>
      <w:r>
        <w:rPr>
          <w:rFonts w:ascii="Arial" w:hAnsi="Arial" w:eastAsia="等线" w:cs="Arial"/>
          <w:sz w:val="22"/>
        </w:rPr>
        <w:t>：河南省驻马店市驿城区练江大道与白桥路交叉口西南角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该项目总用地面积为</w:t>
      </w:r>
      <w:r>
        <w:rPr>
          <w:rFonts w:ascii="Arial" w:hAnsi="Arial" w:eastAsia="等线" w:cs="Arial"/>
          <w:b/>
          <w:sz w:val="22"/>
        </w:rPr>
        <w:t>36612平方米</w:t>
      </w:r>
      <w:r>
        <w:rPr>
          <w:rFonts w:ascii="Arial" w:hAnsi="Arial" w:eastAsia="等线" w:cs="Arial"/>
          <w:sz w:val="22"/>
        </w:rPr>
        <w:t>，总建筑面积为</w:t>
      </w:r>
      <w:r>
        <w:rPr>
          <w:rFonts w:ascii="Arial" w:hAnsi="Arial" w:eastAsia="等线" w:cs="Arial"/>
          <w:b/>
          <w:sz w:val="22"/>
        </w:rPr>
        <w:t>18209.2平方米</w:t>
      </w:r>
      <w:r>
        <w:rPr>
          <w:rFonts w:ascii="Arial" w:hAnsi="Arial" w:eastAsia="等线" w:cs="Arial"/>
          <w:sz w:val="22"/>
        </w:rPr>
        <w:t>，建筑性质为</w:t>
      </w:r>
      <w:r>
        <w:rPr>
          <w:rFonts w:ascii="Arial" w:hAnsi="Arial" w:eastAsia="等线" w:cs="Arial"/>
          <w:b/>
          <w:sz w:val="22"/>
        </w:rPr>
        <w:t>公共文化建筑（博物馆）</w:t>
      </w:r>
      <w:r>
        <w:rPr>
          <w:rFonts w:ascii="Arial" w:hAnsi="Arial" w:eastAsia="等线" w:cs="Arial"/>
          <w:sz w:val="22"/>
        </w:rPr>
        <w:t>，停车系统采用</w:t>
      </w:r>
      <w:r>
        <w:rPr>
          <w:rFonts w:ascii="Arial" w:hAnsi="Arial" w:eastAsia="等线" w:cs="Arial"/>
          <w:b/>
          <w:sz w:val="22"/>
        </w:rPr>
        <w:t>地下停车库+少量机械式停车设施</w:t>
      </w:r>
      <w:r>
        <w:rPr>
          <w:rFonts w:ascii="Arial" w:hAnsi="Arial" w:eastAsia="等线" w:cs="Arial"/>
          <w:sz w:val="22"/>
        </w:rPr>
        <w:t>组合模式，严控地面停车规模，契合绿色建筑节地与景观管控要求。</w:t>
      </w:r>
    </w:p>
    <w:p>
      <w:pPr>
        <w:spacing w:before="380" w:after="140" w:line="288" w:lineRule="auto"/>
        <w:ind w:left="0"/>
        <w:jc w:val="left"/>
        <w:outlineLvl w:val="0"/>
      </w:pPr>
      <w:bookmarkStart w:id="1" w:name="heading_1"/>
      <w:r>
        <w:rPr>
          <w:rFonts w:ascii="Arial" w:hAnsi="Arial" w:eastAsia="等线" w:cs="Arial"/>
          <w:b/>
          <w:sz w:val="36"/>
        </w:rPr>
        <w:t>2标准要求</w:t>
      </w:r>
      <w:bookmarkEnd w:id="1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《绿色建筑评价标准》GB/T 50378-2019（2024年版）第7.2.3条明确要求：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采用机械式停车设施、地下停车库或地面停车楼等方式，评价分值为8分，并按下列规则评分：</w:t>
      </w:r>
    </w:p>
    <w:p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住宅建筑地面停车位数量与住宅总套数的比率应小于10%，得8分；</w:t>
      </w:r>
    </w:p>
    <w:p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公共建筑地面停车占地面积与其总建设用地面积的比率应小于8%，得8分。</w:t>
      </w:r>
    </w:p>
    <w:p>
      <w:pPr>
        <w:spacing w:before="380" w:after="140" w:line="288" w:lineRule="auto"/>
        <w:ind w:left="0"/>
        <w:jc w:val="left"/>
        <w:outlineLvl w:val="0"/>
      </w:pPr>
      <w:bookmarkStart w:id="2" w:name="heading_2"/>
      <w:r>
        <w:rPr>
          <w:rFonts w:ascii="Arial" w:hAnsi="Arial" w:eastAsia="等线" w:cs="Arial"/>
          <w:b/>
          <w:sz w:val="36"/>
        </w:rPr>
        <w:t>3计算过程</w:t>
      </w:r>
      <w:bookmarkEnd w:id="2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项目总建设用地面积</w:t>
      </w:r>
      <w:r>
        <w:rPr>
          <w:rFonts w:ascii="Arial" w:hAnsi="Arial" w:eastAsia="等线" w:cs="Arial"/>
          <w:sz w:val="22"/>
        </w:rPr>
        <w:t>：36612㎡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地面停车占地面积</w:t>
      </w:r>
      <w:r>
        <w:rPr>
          <w:rFonts w:ascii="Arial" w:hAnsi="Arial" w:eastAsia="等线" w:cs="Arial"/>
          <w:sz w:val="22"/>
        </w:rPr>
        <w:t>：2196.72㎡</w:t>
      </w:r>
      <w:bookmarkStart w:id="4" w:name="_GoBack"/>
      <w:bookmarkEnd w:id="4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地面停车率计算公式</w:t>
      </w:r>
      <w:r>
        <w:rPr>
          <w:rFonts w:ascii="Arial" w:hAnsi="Arial" w:eastAsia="等线" w:cs="Arial"/>
          <w:sz w:val="22"/>
        </w:rPr>
        <w:t>：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地面停车率=地面停车占地面积÷总建设用地面积×100%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代入数据计算：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地面停车率=2196.72÷36612×100%=</w:t>
      </w:r>
      <w:r>
        <w:rPr>
          <w:rFonts w:ascii="Arial" w:hAnsi="Arial" w:eastAsia="等线" w:cs="Arial"/>
          <w:b/>
          <w:sz w:val="22"/>
        </w:rPr>
        <w:t>6.0%</w:t>
      </w:r>
    </w:p>
    <w:p>
      <w:pPr>
        <w:spacing w:before="380" w:after="140" w:line="288" w:lineRule="auto"/>
        <w:ind w:left="0"/>
        <w:jc w:val="left"/>
        <w:outlineLvl w:val="0"/>
      </w:pPr>
      <w:bookmarkStart w:id="3" w:name="heading_3"/>
      <w:r>
        <w:rPr>
          <w:rFonts w:ascii="Arial" w:hAnsi="Arial" w:eastAsia="等线" w:cs="Arial"/>
          <w:b/>
          <w:sz w:val="36"/>
        </w:rPr>
        <w:t>4结论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经验算，本公共建筑地面停车占地面积与其总建设用地面积的比率为</w:t>
      </w:r>
      <w:r>
        <w:rPr>
          <w:rFonts w:ascii="Arial" w:hAnsi="Arial" w:eastAsia="等线" w:cs="Arial"/>
          <w:b/>
          <w:sz w:val="22"/>
        </w:rPr>
        <w:t>6.0%</w:t>
      </w:r>
      <w:r>
        <w:rPr>
          <w:rFonts w:ascii="Arial" w:hAnsi="Arial" w:eastAsia="等线" w:cs="Arial"/>
          <w:sz w:val="22"/>
        </w:rPr>
        <w:t>，小于规范规定的8%限值，满足《绿色建筑评价标准》GB/T 50378-2019（2024年版）第7.2.3条要求，可得</w:t>
      </w:r>
      <w:r>
        <w:rPr>
          <w:rFonts w:ascii="Arial" w:hAnsi="Arial" w:eastAsia="等线" w:cs="Arial"/>
          <w:b/>
          <w:sz w:val="22"/>
        </w:rPr>
        <w:t>8分</w:t>
      </w:r>
      <w:r>
        <w:rPr>
          <w:rFonts w:ascii="Arial" w:hAnsi="Arial" w:eastAsia="等线" w:cs="Arial"/>
          <w:sz w:val="22"/>
        </w:rPr>
        <w:t>。</w:t>
      </w:r>
    </w:p>
    <w:sectPr>
      <w:headerReference r:id="rId3" w:type="default"/>
      <w:footerReference r:id="rId4" w:type="default"/>
      <w:pgSz w:w="11905" w:h="168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singleLevel"/>
    <w:tmpl w:val="CF092B8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">
    <w:nsid w:val="0053208E"/>
    <w:multiLevelType w:val="singleLevel"/>
    <w:tmpl w:val="0053208E"/>
    <w:lvl w:ilvl="0" w:tentative="0">
      <w:start w:val="1"/>
      <w:numFmt w:val="decimal"/>
      <w:lvlText w:val="%1."/>
      <w:lvlJc w:val="left"/>
      <w:rPr>
        <w:color w:val="3370FF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746560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Office_11.1.0.10009_F1E327BC-269C-435d-A152-05C5408002CA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2026-03-24T10:23:00Z</dcterms:created>
  <dc:creator>Apache POI</dc:creator>
  <cp:lastModifiedBy>hp</cp:lastModifiedBy>
  <dcterms:modified xsi:type="dcterms:W3CDTF">2026-03-24T10:24:10Z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