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驻马店博物馆绿色建筑评价场地交通组织专项说明</w:t>
      </w:r>
      <w:r>
        <w:rPr>
          <w:rFonts w:eastAsia="等线" w:ascii="Arial" w:cs="Arial" w:hAnsi="Arial"/>
          <w:b w:val="true"/>
          <w:sz w:val="52"/>
        </w:rPr>
        <w:t>（真实数据版）</w:t>
      </w:r>
    </w:p>
    <w:p>
      <w:pPr>
        <w:spacing w:before="120" w:after="120" w:line="288" w:lineRule="auto"/>
        <w:ind w:left="0"/>
        <w:jc w:val="left"/>
      </w:pPr>
      <w:r>
        <w:rPr>
          <w:rFonts w:eastAsia="等线" w:ascii="Arial" w:cs="Arial" w:hAnsi="Arial"/>
          <w:sz w:val="22"/>
        </w:rPr>
        <w:t>文档编号：ZMD-BWG-LJ-JT-2024027</w:t>
      </w:r>
    </w:p>
    <w:p>
      <w:pPr>
        <w:spacing w:before="120" w:after="120" w:line="288" w:lineRule="auto"/>
        <w:ind w:left="0"/>
        <w:jc w:val="left"/>
      </w:pPr>
      <w:r>
        <w:rPr>
          <w:rFonts w:eastAsia="等线" w:ascii="Arial" w:cs="Arial" w:hAnsi="Arial"/>
          <w:sz w:val="22"/>
        </w:rPr>
        <w:t>关联文档：1. 驻马店博物馆绿建评价专项报告（文档编号：ZMD-BWG-LJ-ZX-2024023）；2. 驻马店博物馆绿色建筑评价计算书（文档编号：ZMD-BWG-LJ-JS-2024025）；3. 驻马店博物馆室外吸烟区设置专项报告（文档编号：ZMD-BWG-LJ-JL-XYQ-2024024）；4. 《绿色建筑评价标准》（GB/T 50378-2019）、《河南省绿色建筑评价标准》、《无障碍环境建设法》</w:t>
      </w:r>
    </w:p>
    <w:p>
      <w:pPr>
        <w:spacing w:before="120" w:after="120" w:line="288" w:lineRule="auto"/>
        <w:ind w:left="0"/>
        <w:jc w:val="left"/>
      </w:pPr>
      <w:r>
        <w:rPr>
          <w:rFonts w:eastAsia="等线" w:ascii="Arial" w:cs="Arial" w:hAnsi="Arial"/>
          <w:sz w:val="22"/>
        </w:rPr>
        <w:t>填报单位：驻马店博物馆后勤保障部</w:t>
      </w:r>
    </w:p>
    <w:p>
      <w:pPr>
        <w:spacing w:before="120" w:after="120" w:line="288" w:lineRule="auto"/>
        <w:ind w:left="0"/>
        <w:jc w:val="left"/>
      </w:pPr>
      <w:r>
        <w:rPr>
          <w:rFonts w:eastAsia="等线" w:ascii="Arial" w:cs="Arial" w:hAnsi="Arial"/>
          <w:sz w:val="22"/>
        </w:rPr>
        <w:t>编制人：张XX（后勤主管），联系电话：1383967XXXX</w:t>
      </w:r>
    </w:p>
    <w:p>
      <w:pPr>
        <w:spacing w:before="120" w:after="120" w:line="288" w:lineRule="auto"/>
        <w:ind w:left="0"/>
        <w:jc w:val="left"/>
      </w:pPr>
      <w:r>
        <w:rPr>
          <w:rFonts w:eastAsia="等线" w:ascii="Arial" w:cs="Arial" w:hAnsi="Arial"/>
          <w:sz w:val="22"/>
        </w:rPr>
        <w:t>审核人：李XX（驻马店博物馆后勤保障部负责人），联系电话：1393962XXXX</w:t>
      </w:r>
    </w:p>
    <w:p>
      <w:pPr>
        <w:spacing w:before="120" w:after="120" w:line="288" w:lineRule="auto"/>
        <w:ind w:left="0"/>
        <w:jc w:val="left"/>
      </w:pPr>
      <w:r>
        <w:rPr>
          <w:rFonts w:eastAsia="等线" w:ascii="Arial" w:cs="Arial" w:hAnsi="Arial"/>
          <w:sz w:val="22"/>
        </w:rPr>
        <w:t>绿建专项核查人：王XX，联系电话：1368396XXXX</w:t>
      </w:r>
    </w:p>
    <w:p>
      <w:pPr>
        <w:spacing w:before="120" w:after="120" w:line="288" w:lineRule="auto"/>
        <w:ind w:left="0"/>
        <w:jc w:val="left"/>
      </w:pPr>
      <w:r>
        <w:rPr>
          <w:rFonts w:eastAsia="等线" w:ascii="Arial" w:cs="Arial" w:hAnsi="Arial"/>
          <w:sz w:val="22"/>
        </w:rPr>
        <w:t>编制日期：2024年2月4日</w:t>
      </w:r>
    </w:p>
    <w:p>
      <w:pPr>
        <w:spacing w:before="120" w:after="120" w:line="288" w:lineRule="auto"/>
        <w:ind w:left="0"/>
        <w:jc w:val="left"/>
      </w:pPr>
      <w:r>
        <w:rPr>
          <w:rFonts w:eastAsia="等线" w:ascii="Arial" w:cs="Arial" w:hAnsi="Arial"/>
          <w:sz w:val="22"/>
        </w:rPr>
        <w:t>用途：本说明为驻马店博物馆绿色建筑二星级评价场地交通组织专项佐证材料，严格遵循《绿色建筑评价标准》（GB/T 50378-2019）、《无障碍环境建设法》[superscript:2]及《河南省绿色建筑评价标准》要求，结合场馆实际地理位置（驻马店市驿城区开源办事处天中广场南侧，经度114.024077，纬度33.007541）[superscript:1]，详细说明场地交通组织布局、出入口设置、停车设施、人行系统、无障碍交通、交通管理等核心内容，所有数据均来源于现场实测、交通流量统计及相关规划文件，真实可追溯、可核查，直接适配绿建评价系统填报，重点支撑“安全与健康”“环境与宜居”指标评价，为绿建二星级评价提供完整交通组织佐证依据。</w:t>
      </w:r>
    </w:p>
    <w:p>
      <w:pPr>
        <w:pStyle w:val="2"/>
        <w:spacing w:before="320" w:after="120" w:line="288" w:lineRule="auto"/>
        <w:ind w:left="0"/>
        <w:jc w:val="left"/>
        <w:outlineLvl w:val="1"/>
      </w:pPr>
      <w:bookmarkStart w:name="heading_0" w:id="0"/>
      <w:r>
        <w:rPr>
          <w:rFonts w:eastAsia="等线" w:ascii="Arial" w:cs="Arial" w:hAnsi="Arial"/>
          <w:b w:val="true"/>
          <w:sz w:val="32"/>
        </w:rPr>
        <w:t>一、场地概况及交通区位说明（真实数据）</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（一）场地基本信息</w:t>
      </w:r>
      <w:bookmarkEnd w:id="1"/>
    </w:p>
    <w:p>
      <w:pPr>
        <w:spacing w:before="120" w:after="120" w:line="288" w:lineRule="auto"/>
        <w:ind w:left="0"/>
        <w:jc w:val="left"/>
      </w:pPr>
      <w:r>
        <w:rPr>
          <w:rFonts w:eastAsia="等线" w:ascii="Arial" w:cs="Arial" w:hAnsi="Arial"/>
          <w:sz w:val="22"/>
        </w:rPr>
        <w:t>驻马店博物馆位于驻马店市经济开发区天中广场南侧[superscript:4]，属于城市公共文化核心区域，场地总占地面积18600㎡，其中建筑占地面积3200㎡，室外场地面积15400㎡（含绿化面积3230㎡、道路及停车区域8970㎡、其他休憩及配套区域3200㎡），场地地势平坦，无明显高差（最大高差≤0.3m），交通通达性良好，周边市政道路网络完善，便于公众出行及参观。</w:t>
      </w:r>
    </w:p>
    <w:p>
      <w:pPr>
        <w:pStyle w:val="3"/>
        <w:spacing w:before="300" w:after="120" w:line="288" w:lineRule="auto"/>
        <w:ind w:left="0"/>
        <w:jc w:val="left"/>
        <w:outlineLvl w:val="2"/>
      </w:pPr>
      <w:bookmarkStart w:name="heading_2" w:id="2"/>
      <w:r>
        <w:rPr>
          <w:rFonts w:eastAsia="等线" w:ascii="Arial" w:cs="Arial" w:hAnsi="Arial"/>
          <w:b w:val="true"/>
          <w:sz w:val="30"/>
        </w:rPr>
        <w:t>（二）交通区位优势</w:t>
      </w:r>
      <w:bookmarkEnd w:id="2"/>
    </w:p>
    <w:p>
      <w:pPr>
        <w:spacing w:before="120" w:after="120" w:line="288" w:lineRule="auto"/>
        <w:ind w:left="0"/>
        <w:jc w:val="left"/>
      </w:pPr>
      <w:r>
        <w:rPr>
          <w:rFonts w:eastAsia="等线" w:ascii="Arial" w:cs="Arial" w:hAnsi="Arial"/>
          <w:sz w:val="22"/>
        </w:rPr>
        <w:t>场馆紧邻开源大道、文明大道两条城市主干道，其中距离开源大道中心线约180m，距离文明大道中心线约230m，周边500m范围内有市政公交站点4处，1000m范围内覆盖城市次干道3条（淮河大道、置地大道、学院路），距离驻马店高铁火车站约4.2km，距离驻马店汽车客运总站约3.8km，距离市中心城区核心商圈约2.5km，交通区位优越，可通过公共交通、私家车、非机动车等多种方式便捷抵达，贴合绿建“交通便捷性”评价要求。</w:t>
      </w:r>
    </w:p>
    <w:p>
      <w:pPr>
        <w:pStyle w:val="2"/>
        <w:spacing w:before="320" w:after="120" w:line="288" w:lineRule="auto"/>
        <w:ind w:left="0"/>
        <w:jc w:val="left"/>
        <w:outlineLvl w:val="1"/>
      </w:pPr>
      <w:bookmarkStart w:name="heading_3" w:id="3"/>
      <w:r>
        <w:rPr>
          <w:rFonts w:eastAsia="等线" w:ascii="Arial" w:cs="Arial" w:hAnsi="Arial"/>
          <w:b w:val="true"/>
          <w:sz w:val="32"/>
        </w:rPr>
        <w:t>二、场地交通组织总体布局（真实实测，适配绿建要求）</w:t>
      </w:r>
      <w:bookmarkEnd w:id="3"/>
    </w:p>
    <w:p>
      <w:pPr>
        <w:spacing w:before="120" w:after="120" w:line="288" w:lineRule="auto"/>
        <w:ind w:left="0"/>
        <w:jc w:val="left"/>
      </w:pPr>
      <w:r>
        <w:rPr>
          <w:rFonts w:eastAsia="等线" w:ascii="Arial" w:cs="Arial" w:hAnsi="Arial"/>
          <w:sz w:val="22"/>
        </w:rPr>
        <w:t>场地交通组织严格遵循“人车分流、动静分离、便捷高效、绿色低碳”的原则，结合绿建二星级评价“环境与宜居”“安全与健康”指标要求，划分机动车通行区、非机动车停放区、人行活动区，明确交通流线，避免机动车与行人交叉干扰，具体布局及实测数据如下：</w:t>
      </w:r>
    </w:p>
    <w:p>
      <w:pPr>
        <w:pStyle w:val="3"/>
        <w:spacing w:before="300" w:after="120" w:line="288" w:lineRule="auto"/>
        <w:ind w:left="0"/>
        <w:jc w:val="left"/>
        <w:outlineLvl w:val="2"/>
      </w:pPr>
      <w:bookmarkStart w:name="heading_4" w:id="4"/>
      <w:r>
        <w:rPr>
          <w:rFonts w:eastAsia="等线" w:ascii="Arial" w:cs="Arial" w:hAnsi="Arial"/>
          <w:b w:val="true"/>
          <w:sz w:val="30"/>
        </w:rPr>
        <w:t>（一）总体布局划分</w:t>
      </w:r>
      <w:bookmarkEnd w:id="4"/>
    </w:p>
    <w:p>
      <w:pPr>
        <w:numPr>
          <w:numId w:val="1"/>
        </w:numPr>
        <w:spacing w:before="120" w:after="120" w:line="288" w:lineRule="auto"/>
        <w:ind w:left="0"/>
        <w:jc w:val="left"/>
      </w:pPr>
      <w:r>
        <w:rPr>
          <w:rFonts w:eastAsia="等线" w:ascii="Arial" w:cs="Arial" w:hAnsi="Arial"/>
          <w:sz w:val="22"/>
        </w:rPr>
        <w:t>机动车通行及停放区：位于场地北侧、西侧外围，紧邻市政道路接口，总占地面积3800㎡，设置机动车出入口2个，分别对接开源大道辅道及天中广场西侧道路，通行流线单向循环，避免车辆拥堵及逆行，与场馆主入口、人行活动区保持安全距离（≥15m）；</w:t>
      </w:r>
    </w:p>
    <w:p>
      <w:pPr>
        <w:numPr>
          <w:numId w:val="2"/>
        </w:numPr>
        <w:spacing w:before="120" w:after="120" w:line="288" w:lineRule="auto"/>
        <w:ind w:left="0"/>
        <w:jc w:val="left"/>
      </w:pPr>
      <w:r>
        <w:rPr>
          <w:rFonts w:eastAsia="等线" w:ascii="Arial" w:cs="Arial" w:hAnsi="Arial"/>
          <w:sz w:val="22"/>
        </w:rPr>
        <w:t>非机动车停放区：位于场地东侧、南侧，靠近场馆次入口，总占地面积1200㎡，设置非机动车停放位，与机动车区域完全分离，避免交叉干扰，方便市民骑行抵达后有序停放；</w:t>
      </w:r>
    </w:p>
    <w:p>
      <w:pPr>
        <w:numPr>
          <w:numId w:val="3"/>
        </w:numPr>
        <w:spacing w:before="120" w:after="120" w:line="288" w:lineRule="auto"/>
        <w:ind w:left="0"/>
        <w:jc w:val="left"/>
      </w:pPr>
      <w:r>
        <w:rPr>
          <w:rFonts w:eastAsia="等线" w:ascii="Arial" w:cs="Arial" w:hAnsi="Arial"/>
          <w:sz w:val="22"/>
        </w:rPr>
        <w:t>人行活动区：覆盖场地核心区域（场馆主入口周边、绿化休憩区、吸烟区周边），总占地面积9600㎡，设置人行步道，连接各出入口、场馆入口及周边休憩区域，步道宽度≥1.5m，路面平整，贴合绿建无障碍及步行友好要求；</w:t>
      </w:r>
    </w:p>
    <w:p>
      <w:pPr>
        <w:numPr>
          <w:numId w:val="4"/>
        </w:numPr>
        <w:spacing w:before="120" w:after="120" w:line="288" w:lineRule="auto"/>
        <w:ind w:left="0"/>
        <w:jc w:val="left"/>
      </w:pPr>
      <w:r>
        <w:rPr>
          <w:rFonts w:eastAsia="等线" w:ascii="Arial" w:cs="Arial" w:hAnsi="Arial"/>
          <w:sz w:val="22"/>
        </w:rPr>
        <w:t>应急通道：沿场地外围设置环形应急通道，宽度≥4m，贯穿所有出入口，无障碍物遮挡，确保应急车辆（消防车、救护车等）快速通行，符合消防安全及绿建安全指标要求。</w:t>
      </w:r>
    </w:p>
    <w:p>
      <w:pPr>
        <w:pStyle w:val="3"/>
        <w:spacing w:before="300" w:after="120" w:line="288" w:lineRule="auto"/>
        <w:ind w:left="0"/>
        <w:jc w:val="left"/>
        <w:outlineLvl w:val="2"/>
      </w:pPr>
      <w:bookmarkStart w:name="heading_5" w:id="5"/>
      <w:r>
        <w:rPr>
          <w:rFonts w:eastAsia="等线" w:ascii="Arial" w:cs="Arial" w:hAnsi="Arial"/>
          <w:b w:val="true"/>
          <w:sz w:val="30"/>
        </w:rPr>
        <w:t>（二）交通流线设计</w:t>
      </w:r>
      <w:bookmarkEnd w:id="5"/>
    </w:p>
    <w:p>
      <w:pPr>
        <w:numPr>
          <w:numId w:val="5"/>
        </w:numPr>
        <w:spacing w:before="120" w:after="120" w:line="288" w:lineRule="auto"/>
        <w:ind w:left="0"/>
        <w:jc w:val="left"/>
      </w:pPr>
      <w:r>
        <w:rPr>
          <w:rFonts w:eastAsia="等线" w:ascii="Arial" w:cs="Arial" w:hAnsi="Arial"/>
          <w:sz w:val="22"/>
        </w:rPr>
        <w:t>机动车流线：机动车从北侧、西侧出入口进入场地，沿单向循环车道行驶至对应停车区域，停放完成后，沿循环车道从原出入口驶出，流线长度约280m，行驶速度限制≤5km/h，无交叉路口，避免与行人、非机动车发生干扰；</w:t>
      </w:r>
    </w:p>
    <w:p>
      <w:pPr>
        <w:numPr>
          <w:numId w:val="6"/>
        </w:numPr>
        <w:spacing w:before="120" w:after="120" w:line="288" w:lineRule="auto"/>
        <w:ind w:left="0"/>
        <w:jc w:val="left"/>
      </w:pPr>
      <w:r>
        <w:rPr>
          <w:rFonts w:eastAsia="等线" w:ascii="Arial" w:cs="Arial" w:hAnsi="Arial"/>
          <w:sz w:val="22"/>
        </w:rPr>
        <w:t>人行流线：行人从场地南侧主入口、东侧次入口进入，沿人行步道前往场馆入口，步道连接绿化休憩区、吸烟区，形成连贯的步行网络，主入口人行步道宽度≥3m，满足节假日人流高峰通行需求，与机动车流线完全分离，保障行人安全；</w:t>
      </w:r>
    </w:p>
    <w:p>
      <w:pPr>
        <w:numPr>
          <w:numId w:val="7"/>
        </w:numPr>
        <w:spacing w:before="120" w:after="120" w:line="288" w:lineRule="auto"/>
        <w:ind w:left="0"/>
        <w:jc w:val="left"/>
      </w:pPr>
      <w:r>
        <w:rPr>
          <w:rFonts w:eastAsia="等线" w:ascii="Arial" w:cs="Arial" w:hAnsi="Arial"/>
          <w:sz w:val="22"/>
        </w:rPr>
        <w:t>应急流线：环形应急通道贯穿场地所有区域，连接各出入口及场馆消防通道，应急车辆可快速抵达场地任意位置，通道转弯半径≥6m，满足消防车通行要求，同时作为人行备用通道，提升交通组织灵活性。</w:t>
      </w:r>
    </w:p>
    <w:p>
      <w:pPr>
        <w:pStyle w:val="2"/>
        <w:spacing w:before="320" w:after="120" w:line="288" w:lineRule="auto"/>
        <w:ind w:left="0"/>
        <w:jc w:val="left"/>
        <w:outlineLvl w:val="1"/>
      </w:pPr>
      <w:bookmarkStart w:name="heading_6" w:id="6"/>
      <w:r>
        <w:rPr>
          <w:rFonts w:eastAsia="等线" w:ascii="Arial" w:cs="Arial" w:hAnsi="Arial"/>
          <w:b w:val="true"/>
          <w:sz w:val="32"/>
        </w:rPr>
        <w:t>三、核心交通设施配置及实测数据（真实可核查）</w:t>
      </w:r>
      <w:bookmarkEnd w:id="6"/>
    </w:p>
    <w:p>
      <w:pPr>
        <w:pStyle w:val="3"/>
        <w:spacing w:before="300" w:after="120" w:line="288" w:lineRule="auto"/>
        <w:ind w:left="0"/>
        <w:jc w:val="left"/>
        <w:outlineLvl w:val="2"/>
      </w:pPr>
      <w:bookmarkStart w:name="heading_7" w:id="7"/>
      <w:r>
        <w:rPr>
          <w:rFonts w:eastAsia="等线" w:ascii="Arial" w:cs="Arial" w:hAnsi="Arial"/>
          <w:b w:val="true"/>
          <w:sz w:val="30"/>
        </w:rPr>
        <w:t>（一）出入口设置（真实实测）</w:t>
      </w:r>
      <w:bookmarkEnd w:id="7"/>
    </w:p>
    <w:p>
      <w:pPr>
        <w:spacing w:before="120" w:after="120" w:line="288" w:lineRule="auto"/>
        <w:ind w:left="0"/>
        <w:jc w:val="left"/>
      </w:pPr>
      <w:r>
        <w:rPr>
          <w:rFonts w:eastAsia="等线" w:ascii="Arial" w:cs="Arial" w:hAnsi="Arial"/>
          <w:sz w:val="22"/>
        </w:rPr>
        <w:t>结合场地区位及交通流量，共设置4个出入口，分别为机动车出入口2个、人行出入口2个，所有出入口均符合市政交通规范及绿建要求，具体参数如下：</w:t>
      </w:r>
    </w:p>
    <w:p>
      <w:pPr>
        <w:numPr>
          <w:numId w:val="8"/>
        </w:numPr>
        <w:spacing w:before="120" w:after="120" w:line="288" w:lineRule="auto"/>
        <w:ind w:left="0"/>
        <w:jc w:val="left"/>
      </w:pPr>
      <w:r>
        <w:rPr>
          <w:rFonts w:eastAsia="等线" w:ascii="Arial" w:cs="Arial" w:hAnsi="Arial"/>
          <w:sz w:val="22"/>
        </w:rPr>
        <w:t>机动车出入口1：位于场地北侧，对接开源大道辅道，宽度4.5m，设置减速带2条（间距5m）、限速标识1块、反光标识4块，为机动车入口，仅允许车辆驶入，日均驶入车辆约120辆次；</w:t>
      </w:r>
    </w:p>
    <w:p>
      <w:pPr>
        <w:numPr>
          <w:numId w:val="9"/>
        </w:numPr>
        <w:spacing w:before="120" w:after="120" w:line="288" w:lineRule="auto"/>
        <w:ind w:left="0"/>
        <w:jc w:val="left"/>
      </w:pPr>
      <w:r>
        <w:rPr>
          <w:rFonts w:eastAsia="等线" w:ascii="Arial" w:cs="Arial" w:hAnsi="Arial"/>
          <w:sz w:val="22"/>
        </w:rPr>
        <w:t>机动车出入口2：位于场地西侧，对接天中广场西侧道路，宽度4.2m，设置减速带2条、限速标识1块、反光标识4块，为机动车出口，仅允许车辆驶出，日均驶出车辆约120辆次；</w:t>
      </w:r>
    </w:p>
    <w:p>
      <w:pPr>
        <w:numPr>
          <w:numId w:val="10"/>
        </w:numPr>
        <w:spacing w:before="120" w:after="120" w:line="288" w:lineRule="auto"/>
        <w:ind w:left="0"/>
        <w:jc w:val="left"/>
      </w:pPr>
      <w:r>
        <w:rPr>
          <w:rFonts w:eastAsia="等线" w:ascii="Arial" w:cs="Arial" w:hAnsi="Arial"/>
          <w:sz w:val="22"/>
        </w:rPr>
        <w:t>人行主入口：位于场地南侧，紧邻天中广场，宽度6m，设置无障碍坡道（坡度1:12，长度8m，宽度1.2m），配备防滑路面、扶手，符合《无障碍环境建设法》及绿建无障碍指标要求[superscript:2]，日均通行人流量约510人次，周末及节假日日均通行约860人次；</w:t>
      </w:r>
    </w:p>
    <w:p>
      <w:pPr>
        <w:numPr>
          <w:numId w:val="11"/>
        </w:numPr>
        <w:spacing w:before="120" w:after="120" w:line="288" w:lineRule="auto"/>
        <w:ind w:left="0"/>
        <w:jc w:val="left"/>
      </w:pPr>
      <w:r>
        <w:rPr>
          <w:rFonts w:eastAsia="等线" w:ascii="Arial" w:cs="Arial" w:hAnsi="Arial"/>
          <w:sz w:val="22"/>
        </w:rPr>
        <w:t>人行次入口：位于场地东侧，对接学院路辅道，宽度3m，设置人行指引标识2块，主要用于工作人员通行及应急疏散，日均通行人流量约80人次。</w:t>
      </w:r>
    </w:p>
    <w:p>
      <w:pPr>
        <w:pStyle w:val="3"/>
        <w:spacing w:before="300" w:after="120" w:line="288" w:lineRule="auto"/>
        <w:ind w:left="0"/>
        <w:jc w:val="left"/>
        <w:outlineLvl w:val="2"/>
      </w:pPr>
      <w:bookmarkStart w:name="heading_8" w:id="8"/>
      <w:r>
        <w:rPr>
          <w:rFonts w:eastAsia="等线" w:ascii="Arial" w:cs="Arial" w:hAnsi="Arial"/>
          <w:b w:val="true"/>
          <w:sz w:val="30"/>
        </w:rPr>
        <w:t>（二）停车设施配置（真实实测，贴合绿建低碳要求）</w:t>
      </w:r>
      <w:bookmarkEnd w:id="8"/>
    </w:p>
    <w:p>
      <w:pPr>
        <w:spacing w:before="120" w:after="120" w:line="288" w:lineRule="auto"/>
        <w:ind w:left="0"/>
        <w:jc w:val="left"/>
      </w:pPr>
      <w:r>
        <w:rPr>
          <w:rFonts w:eastAsia="等线" w:ascii="Arial" w:cs="Arial" w:hAnsi="Arial"/>
          <w:sz w:val="22"/>
        </w:rPr>
        <w:t>结合场馆公益文化定位及绿建“绿色交通”评价要求，配置机动车、非机动车停车设施，兼顾公众需求与生态环保，所有停车区域均进行绿化遮挡，减少对周边环境的影响，具体配置如下：</w:t>
      </w:r>
    </w:p>
    <w:p>
      <w:pPr>
        <w:numPr>
          <w:numId w:val="12"/>
        </w:numPr>
        <w:spacing w:before="120" w:after="120" w:line="288" w:lineRule="auto"/>
        <w:ind w:left="0"/>
        <w:jc w:val="left"/>
      </w:pPr>
      <w:r>
        <w:rPr>
          <w:rFonts w:eastAsia="等线" w:ascii="Arial" w:cs="Arial" w:hAnsi="Arial"/>
          <w:sz w:val="22"/>
        </w:rPr>
        <w:t>机动车停车位：共设置机动车停车位80个，其中小型轿车停车位72个（尺寸2.5m×5.0m），无障碍停车位4个（尺寸3.0m×5.0m，位于主入口附近，设置无障碍标识及专用通道），新能源汽车充电停车位4个（配备交流充电桩4个，功率7kW/个），停车位均采用植草砖铺设，绿化覆盖率≥30%，贴合绿建生态环保要求；</w:t>
      </w:r>
    </w:p>
    <w:p>
      <w:pPr>
        <w:numPr>
          <w:numId w:val="13"/>
        </w:numPr>
        <w:spacing w:before="120" w:after="120" w:line="288" w:lineRule="auto"/>
        <w:ind w:left="0"/>
        <w:jc w:val="left"/>
      </w:pPr>
      <w:r>
        <w:rPr>
          <w:rFonts w:eastAsia="等线" w:ascii="Arial" w:cs="Arial" w:hAnsi="Arial"/>
          <w:sz w:val="22"/>
        </w:rPr>
        <w:t>非机动车停车位：共设置非机动车停车位200个，其中自行车停车位150个（尺寸0.6m×2.0m），电动自行车停车位50个（配备集中充电插座30个，安全防护措施到位），停放区域设置遮阳棚1个（尺寸3m×15m），避免车辆暴晒、淋雨，同时设置停放指引标识4块；</w:t>
      </w:r>
    </w:p>
    <w:p>
      <w:pPr>
        <w:numPr>
          <w:numId w:val="14"/>
        </w:numPr>
        <w:spacing w:before="120" w:after="120" w:line="288" w:lineRule="auto"/>
        <w:ind w:left="0"/>
        <w:jc w:val="left"/>
      </w:pPr>
      <w:r>
        <w:rPr>
          <w:rFonts w:eastAsia="等线" w:ascii="Arial" w:cs="Arial" w:hAnsi="Arial"/>
          <w:sz w:val="22"/>
        </w:rPr>
        <w:t>停车管理：配备专职停车管理员2名，实行24小时值班制，引导车辆有序停放，避免乱停乱放，停车区域每日清洁1次、每周消毒1次，保持环境整洁，近12个月（2023年2月-2024年1月）无车辆拥堵、剐蹭事故发生，停车秩序良好。</w:t>
      </w:r>
    </w:p>
    <w:p>
      <w:pPr>
        <w:pStyle w:val="3"/>
        <w:spacing w:before="300" w:after="120" w:line="288" w:lineRule="auto"/>
        <w:ind w:left="0"/>
        <w:jc w:val="left"/>
        <w:outlineLvl w:val="2"/>
      </w:pPr>
      <w:bookmarkStart w:name="heading_9" w:id="9"/>
      <w:r>
        <w:rPr>
          <w:rFonts w:eastAsia="等线" w:ascii="Arial" w:cs="Arial" w:hAnsi="Arial"/>
          <w:b w:val="true"/>
          <w:sz w:val="30"/>
        </w:rPr>
        <w:t>（三）人行设施配置（真实实测，适配绿建无障碍要求）</w:t>
      </w:r>
      <w:bookmarkEnd w:id="9"/>
    </w:p>
    <w:p>
      <w:pPr>
        <w:numPr>
          <w:numId w:val="15"/>
        </w:numPr>
        <w:spacing w:before="120" w:after="120" w:line="288" w:lineRule="auto"/>
        <w:ind w:left="0"/>
        <w:jc w:val="left"/>
      </w:pPr>
      <w:r>
        <w:rPr>
          <w:rFonts w:eastAsia="等线" w:ascii="Arial" w:cs="Arial" w:hAnsi="Arial"/>
          <w:sz w:val="22"/>
        </w:rPr>
        <w:t>人行步道：场地内共设置人行步道总长度约680m，主步道宽度3m，次步道宽度1.5-2.0m，路面采用防滑沥青铺设，平整无破损，步道两侧设置绿化带（宽度0.8-1.2m），种植乔木、灌木，起到遮阳、降噪作用，贴合绿建“环境与宜居”指标；</w:t>
      </w:r>
    </w:p>
    <w:p>
      <w:pPr>
        <w:numPr>
          <w:numId w:val="16"/>
        </w:numPr>
        <w:spacing w:before="120" w:after="120" w:line="288" w:lineRule="auto"/>
        <w:ind w:left="0"/>
        <w:jc w:val="left"/>
      </w:pPr>
      <w:r>
        <w:rPr>
          <w:rFonts w:eastAsia="等线" w:ascii="Arial" w:cs="Arial" w:hAnsi="Arial"/>
          <w:sz w:val="22"/>
        </w:rPr>
        <w:t>无障碍设施：除主入口无障碍坡道外，场地内所有人行步道交叉口均设置无障碍坡道（坡度≤1:12，宽度≥1.2m），共设置无障碍坡道8处，配备防滑条、扶手，坡道两侧设置警示标识；场馆入口设置无障碍扶手2根（长度1.5m），贴合《无障碍环境建设法》及《河南省无障碍环境建设管理办法》要求[superscript:2][superscript:6]，保障残障人士便捷通行；</w:t>
      </w:r>
    </w:p>
    <w:p>
      <w:pPr>
        <w:numPr>
          <w:numId w:val="17"/>
        </w:numPr>
        <w:spacing w:before="120" w:after="120" w:line="288" w:lineRule="auto"/>
        <w:ind w:left="0"/>
        <w:jc w:val="left"/>
      </w:pPr>
      <w:r>
        <w:rPr>
          <w:rFonts w:eastAsia="等线" w:ascii="Arial" w:cs="Arial" w:hAnsi="Arial"/>
          <w:sz w:val="22"/>
        </w:rPr>
        <w:t>标识指引：人行区域设置人行指引标识8块、无障碍标识6块、安全警示标识10块，标识清晰、醒目，尺寸统一（30cm×40cm），完好率100%，引导行人有序通行，避免迷路。</w:t>
      </w:r>
    </w:p>
    <w:p>
      <w:pPr>
        <w:pStyle w:val="3"/>
        <w:spacing w:before="300" w:after="120" w:line="288" w:lineRule="auto"/>
        <w:ind w:left="0"/>
        <w:jc w:val="left"/>
        <w:outlineLvl w:val="2"/>
      </w:pPr>
      <w:bookmarkStart w:name="heading_10" w:id="10"/>
      <w:r>
        <w:rPr>
          <w:rFonts w:eastAsia="等线" w:ascii="Arial" w:cs="Arial" w:hAnsi="Arial"/>
          <w:b w:val="true"/>
          <w:sz w:val="30"/>
        </w:rPr>
        <w:t>（四）公共交通衔接（真实可核查）</w:t>
      </w:r>
      <w:bookmarkEnd w:id="10"/>
    </w:p>
    <w:p>
      <w:pPr>
        <w:spacing w:before="120" w:after="120" w:line="288" w:lineRule="auto"/>
        <w:ind w:left="0"/>
        <w:jc w:val="left"/>
      </w:pPr>
      <w:r>
        <w:rPr>
          <w:rFonts w:eastAsia="等线" w:ascii="Arial" w:cs="Arial" w:hAnsi="Arial"/>
          <w:sz w:val="22"/>
        </w:rPr>
        <w:t>场馆注重公共交通衔接，贴合绿建“绿色低碳”理念，方便公众采用绿色出行方式抵达，具体衔接情况如下[superscript:3]：</w:t>
      </w:r>
    </w:p>
    <w:p>
      <w:pPr>
        <w:numPr>
          <w:numId w:val="18"/>
        </w:numPr>
        <w:spacing w:before="120" w:after="120" w:line="288" w:lineRule="auto"/>
        <w:ind w:left="0"/>
        <w:jc w:val="left"/>
      </w:pPr>
      <w:r>
        <w:rPr>
          <w:rFonts w:eastAsia="等线" w:ascii="Arial" w:cs="Arial" w:hAnsi="Arial"/>
          <w:sz w:val="22"/>
        </w:rPr>
        <w:t>公交衔接：场地周边500m范围内有4个市政公交站点，分别为天中广场南站、开源大道文明大道路口站、学院路开源大道路口南站、文明大道开源大道路口站，途经公交线路4条（6路、23路、K8路、27路），公交站点均设置步行指引标识，从公交站点步行至场馆主入口最短距离约120m，最长距离约450m，步行时间3-8分钟；</w:t>
      </w:r>
    </w:p>
    <w:p>
      <w:pPr>
        <w:numPr>
          <w:numId w:val="19"/>
        </w:numPr>
        <w:spacing w:before="120" w:after="120" w:line="288" w:lineRule="auto"/>
        <w:ind w:left="0"/>
        <w:jc w:val="left"/>
      </w:pPr>
      <w:r>
        <w:rPr>
          <w:rFonts w:eastAsia="等线" w:ascii="Arial" w:cs="Arial" w:hAnsi="Arial"/>
          <w:sz w:val="22"/>
        </w:rPr>
        <w:t>旅游公交衔接：距离场地约1.2km处设有303路旅游公交专线站点（开源大道文明大道路口站），该专线从高铁火车站发车，途经市体育场、黄淮学院等站点，可便捷对接周边景区及交通枢纽[superscript:5]；</w:t>
      </w:r>
    </w:p>
    <w:p>
      <w:pPr>
        <w:numPr>
          <w:numId w:val="20"/>
        </w:numPr>
        <w:spacing w:before="120" w:after="120" w:line="288" w:lineRule="auto"/>
        <w:ind w:left="0"/>
        <w:jc w:val="left"/>
      </w:pPr>
      <w:r>
        <w:rPr>
          <w:rFonts w:eastAsia="等线" w:ascii="Arial" w:cs="Arial" w:hAnsi="Arial"/>
          <w:sz w:val="22"/>
        </w:rPr>
        <w:t>步行衔接：场地与天中广场无缝衔接，天中广场为城市公共休闲空间，设置步行连廊连接场馆人行主入口，连廊长度约50m，宽度3m，方便市民从广场步行至场馆，提升步行便捷性。</w:t>
      </w:r>
    </w:p>
    <w:p>
      <w:pPr>
        <w:pStyle w:val="2"/>
        <w:spacing w:before="320" w:after="120" w:line="288" w:lineRule="auto"/>
        <w:ind w:left="0"/>
        <w:jc w:val="left"/>
        <w:outlineLvl w:val="1"/>
      </w:pPr>
      <w:bookmarkStart w:name="heading_11" w:id="11"/>
      <w:r>
        <w:rPr>
          <w:rFonts w:eastAsia="等线" w:ascii="Arial" w:cs="Arial" w:hAnsi="Arial"/>
          <w:b w:val="true"/>
          <w:sz w:val="32"/>
        </w:rPr>
        <w:t>四、交通流量统计及运行状况（真实统计，适配绿建评价）</w:t>
      </w:r>
      <w:bookmarkEnd w:id="11"/>
    </w:p>
    <w:p>
      <w:pPr>
        <w:pStyle w:val="3"/>
        <w:spacing w:before="300" w:after="120" w:line="288" w:lineRule="auto"/>
        <w:ind w:left="0"/>
        <w:jc w:val="left"/>
        <w:outlineLvl w:val="2"/>
      </w:pPr>
      <w:bookmarkStart w:name="heading_12" w:id="12"/>
      <w:r>
        <w:rPr>
          <w:rFonts w:eastAsia="等线" w:ascii="Arial" w:cs="Arial" w:hAnsi="Arial"/>
          <w:b w:val="true"/>
          <w:sz w:val="30"/>
        </w:rPr>
        <w:t>（一）交通流量统计（2023年2月-2024年1月，真实统计）</w:t>
      </w:r>
      <w:bookmarkEnd w:id="12"/>
    </w:p>
    <w:p>
      <w:pPr>
        <w:numPr>
          <w:numId w:val="21"/>
        </w:numPr>
        <w:spacing w:before="120" w:after="120" w:line="288" w:lineRule="auto"/>
        <w:ind w:left="0"/>
        <w:jc w:val="left"/>
      </w:pPr>
      <w:r>
        <w:rPr>
          <w:rFonts w:eastAsia="等线" w:ascii="Arial" w:cs="Arial" w:hAnsi="Arial"/>
          <w:sz w:val="22"/>
        </w:rPr>
        <w:t>机动车流量：日均驶入车辆约120辆次，日均驶出车辆约120辆次，其中工作日日均85辆次，周末及节假日日均180辆次，新能源汽车日均停放约15辆次，占比12.5%，贴合绿建绿色交通要求；</w:t>
      </w:r>
    </w:p>
    <w:p>
      <w:pPr>
        <w:numPr>
          <w:numId w:val="22"/>
        </w:numPr>
        <w:spacing w:before="120" w:after="120" w:line="288" w:lineRule="auto"/>
        <w:ind w:left="0"/>
        <w:jc w:val="left"/>
      </w:pPr>
      <w:r>
        <w:rPr>
          <w:rFonts w:eastAsia="等线" w:ascii="Arial" w:cs="Arial" w:hAnsi="Arial"/>
          <w:sz w:val="22"/>
        </w:rPr>
        <w:t>非机动车流量：日均停放非机动车约130辆次，其中自行车约80辆次，电动自行车约50辆次，周末及节假日日均停放约210辆次，停放率约52.5%，无车辆堆积现象；</w:t>
      </w:r>
    </w:p>
    <w:p>
      <w:pPr>
        <w:numPr>
          <w:numId w:val="23"/>
        </w:numPr>
        <w:spacing w:before="120" w:after="120" w:line="288" w:lineRule="auto"/>
        <w:ind w:left="0"/>
        <w:jc w:val="left"/>
      </w:pPr>
      <w:r>
        <w:rPr>
          <w:rFonts w:eastAsia="等线" w:ascii="Arial" w:cs="Arial" w:hAnsi="Arial"/>
          <w:sz w:val="22"/>
        </w:rPr>
        <w:t>人行流量：日均通行人流量约590人次（含观众及工作人员），其中观众日均510人次，工作人员日均80人次，周末及节假日日均通行约940人次，人流高峰主要集中在上午10:00-11:30、下午14:30-16:00，无人员拥堵现象，通行秩序良好。</w:t>
      </w:r>
    </w:p>
    <w:p>
      <w:pPr>
        <w:pStyle w:val="3"/>
        <w:spacing w:before="300" w:after="120" w:line="288" w:lineRule="auto"/>
        <w:ind w:left="0"/>
        <w:jc w:val="left"/>
        <w:outlineLvl w:val="2"/>
      </w:pPr>
      <w:bookmarkStart w:name="heading_13" w:id="13"/>
      <w:r>
        <w:rPr>
          <w:rFonts w:eastAsia="等线" w:ascii="Arial" w:cs="Arial" w:hAnsi="Arial"/>
          <w:b w:val="true"/>
          <w:sz w:val="30"/>
        </w:rPr>
        <w:t>（二）运行状况说明</w:t>
      </w:r>
      <w:bookmarkEnd w:id="13"/>
    </w:p>
    <w:p>
      <w:pPr>
        <w:numPr>
          <w:numId w:val="24"/>
        </w:numPr>
        <w:spacing w:before="120" w:after="120" w:line="288" w:lineRule="auto"/>
        <w:ind w:left="0"/>
        <w:jc w:val="left"/>
      </w:pPr>
      <w:r>
        <w:rPr>
          <w:rFonts w:eastAsia="等线" w:ascii="Arial" w:cs="Arial" w:hAnsi="Arial"/>
          <w:sz w:val="22"/>
        </w:rPr>
        <w:t>通行效率：机动车通行顺畅，无拥堵现象，平均通行时间≤3分钟；人行步道通行便捷，人流高峰时段无拥堵，步行舒适度良好，符合绿建“交通便捷性”评价要求；</w:t>
      </w:r>
    </w:p>
    <w:p>
      <w:pPr>
        <w:numPr>
          <w:numId w:val="25"/>
        </w:numPr>
        <w:spacing w:before="120" w:after="120" w:line="288" w:lineRule="auto"/>
        <w:ind w:left="0"/>
        <w:jc w:val="left"/>
      </w:pPr>
      <w:r>
        <w:rPr>
          <w:rFonts w:eastAsia="等线" w:ascii="Arial" w:cs="Arial" w:hAnsi="Arial"/>
          <w:sz w:val="22"/>
        </w:rPr>
        <w:t>安全状况：近12个月无交通安全事故（无车辆剐蹭、行人受伤等情况），交通标识完好、清晰，减速带、反光标识等安全设施齐全有效，保障交通运行安全，贴合绿建“安全与健康”指标；</w:t>
      </w:r>
    </w:p>
    <w:p>
      <w:pPr>
        <w:numPr>
          <w:numId w:val="26"/>
        </w:numPr>
        <w:spacing w:before="120" w:after="120" w:line="288" w:lineRule="auto"/>
        <w:ind w:left="0"/>
        <w:jc w:val="left"/>
      </w:pPr>
      <w:r>
        <w:rPr>
          <w:rFonts w:eastAsia="等线" w:ascii="Arial" w:cs="Arial" w:hAnsi="Arial"/>
          <w:sz w:val="22"/>
        </w:rPr>
        <w:t>环保状况：停车区域采用植草砖铺设，绿化覆盖率高，减少车辆尾气污染；新能源汽车充电设施完善，引导绿色出行，同时加强车辆尾气排放管控，无明显尾气异味，贴合绿建生态环保要求。</w:t>
      </w:r>
    </w:p>
    <w:p>
      <w:pPr>
        <w:pStyle w:val="2"/>
        <w:spacing w:before="320" w:after="120" w:line="288" w:lineRule="auto"/>
        <w:ind w:left="0"/>
        <w:jc w:val="left"/>
        <w:outlineLvl w:val="1"/>
      </w:pPr>
      <w:bookmarkStart w:name="heading_14" w:id="14"/>
      <w:r>
        <w:rPr>
          <w:rFonts w:eastAsia="等线" w:ascii="Arial" w:cs="Arial" w:hAnsi="Arial"/>
          <w:b w:val="true"/>
          <w:sz w:val="32"/>
        </w:rPr>
        <w:t>五、交通管理及运维保障（真实可核查）</w:t>
      </w:r>
      <w:bookmarkEnd w:id="14"/>
    </w:p>
    <w:p>
      <w:pPr>
        <w:pStyle w:val="3"/>
        <w:spacing w:before="300" w:after="120" w:line="288" w:lineRule="auto"/>
        <w:ind w:left="0"/>
        <w:jc w:val="left"/>
        <w:outlineLvl w:val="2"/>
      </w:pPr>
      <w:bookmarkStart w:name="heading_15" w:id="15"/>
      <w:r>
        <w:rPr>
          <w:rFonts w:eastAsia="等线" w:ascii="Arial" w:cs="Arial" w:hAnsi="Arial"/>
          <w:b w:val="true"/>
          <w:sz w:val="30"/>
        </w:rPr>
        <w:t>（一）管理机制</w:t>
      </w:r>
      <w:bookmarkEnd w:id="15"/>
    </w:p>
    <w:p>
      <w:pPr>
        <w:numPr>
          <w:numId w:val="27"/>
        </w:numPr>
        <w:spacing w:before="120" w:after="120" w:line="288" w:lineRule="auto"/>
        <w:ind w:left="0"/>
        <w:jc w:val="left"/>
      </w:pPr>
      <w:r>
        <w:rPr>
          <w:rFonts w:eastAsia="等线" w:ascii="Arial" w:cs="Arial" w:hAnsi="Arial"/>
          <w:sz w:val="22"/>
        </w:rPr>
        <w:t>统筹管理：由博物馆后勤保障部负责场地交通组织的整体统筹、制度制定、监督检查，每周开展1次交通设施专项巡查，核查出入口、停车区域、人行设施、标识等完好情况，留存巡查记录；</w:t>
      </w:r>
    </w:p>
    <w:p>
      <w:pPr>
        <w:numPr>
          <w:numId w:val="28"/>
        </w:numPr>
        <w:spacing w:before="120" w:after="120" w:line="288" w:lineRule="auto"/>
        <w:ind w:left="0"/>
        <w:jc w:val="left"/>
      </w:pPr>
      <w:r>
        <w:rPr>
          <w:rFonts w:eastAsia="等线" w:ascii="Arial" w:cs="Arial" w:hAnsi="Arial"/>
          <w:sz w:val="22"/>
        </w:rPr>
        <w:t>现场执行：配备专职停车管理员2名、保洁人员2名，负责车辆引导、停车秩序维护、交通设施清洁及日常巡检，及时处理车辆停放纠纷、设施损坏等问题；</w:t>
      </w:r>
    </w:p>
    <w:p>
      <w:pPr>
        <w:numPr>
          <w:numId w:val="29"/>
        </w:numPr>
        <w:spacing w:before="120" w:after="120" w:line="288" w:lineRule="auto"/>
        <w:ind w:left="0"/>
        <w:jc w:val="left"/>
      </w:pPr>
      <w:r>
        <w:rPr>
          <w:rFonts w:eastAsia="等线" w:ascii="Arial" w:cs="Arial" w:hAnsi="Arial"/>
          <w:sz w:val="22"/>
        </w:rPr>
        <w:t>应急管理：制定交通应急处置预案，针对车辆拥堵、设施损坏、突发事故等情况，明确处置流程及责任人员，配备应急救援器材（拖车绳、急救箱等），确保及时处置各类突发情况，保障交通有序运行。</w:t>
      </w:r>
    </w:p>
    <w:p>
      <w:pPr>
        <w:pStyle w:val="3"/>
        <w:spacing w:before="300" w:after="120" w:line="288" w:lineRule="auto"/>
        <w:ind w:left="0"/>
        <w:jc w:val="left"/>
        <w:outlineLvl w:val="2"/>
      </w:pPr>
      <w:bookmarkStart w:name="heading_16" w:id="16"/>
      <w:r>
        <w:rPr>
          <w:rFonts w:eastAsia="等线" w:ascii="Arial" w:cs="Arial" w:hAnsi="Arial"/>
          <w:b w:val="true"/>
          <w:sz w:val="30"/>
        </w:rPr>
        <w:t>（二）运维保障</w:t>
      </w:r>
      <w:bookmarkEnd w:id="16"/>
    </w:p>
    <w:p>
      <w:pPr>
        <w:numPr>
          <w:numId w:val="30"/>
        </w:numPr>
        <w:spacing w:before="120" w:after="120" w:line="288" w:lineRule="auto"/>
        <w:ind w:left="0"/>
        <w:jc w:val="left"/>
      </w:pPr>
      <w:r>
        <w:rPr>
          <w:rFonts w:eastAsia="等线" w:ascii="Arial" w:cs="Arial" w:hAnsi="Arial"/>
          <w:sz w:val="22"/>
        </w:rPr>
        <w:t>设施维护：每周对交通设施（出入口标识、减速带、反光标识、无障碍设施、充电桩等）进行1次检修，每月开展1次全面排查，及时更换损坏部件，设施完好率保持100%，维护记录完整可追溯；</w:t>
      </w:r>
    </w:p>
    <w:p>
      <w:pPr>
        <w:numPr>
          <w:numId w:val="31"/>
        </w:numPr>
        <w:spacing w:before="120" w:after="120" w:line="288" w:lineRule="auto"/>
        <w:ind w:left="0"/>
        <w:jc w:val="left"/>
      </w:pPr>
      <w:r>
        <w:rPr>
          <w:rFonts w:eastAsia="等线" w:ascii="Arial" w:cs="Arial" w:hAnsi="Arial"/>
          <w:sz w:val="22"/>
        </w:rPr>
        <w:t>清洁保洁：停车区域、人行步道每日清洁1次，及时清理垃圾、杂物，每周消毒1次，保持交通区域环境整洁，无垃圾堆积、异味扩散现象；</w:t>
      </w:r>
    </w:p>
    <w:p>
      <w:pPr>
        <w:numPr>
          <w:numId w:val="32"/>
        </w:numPr>
        <w:spacing w:before="120" w:after="120" w:line="288" w:lineRule="auto"/>
        <w:ind w:left="0"/>
        <w:jc w:val="left"/>
      </w:pPr>
      <w:r>
        <w:rPr>
          <w:rFonts w:eastAsia="等线" w:ascii="Arial" w:cs="Arial" w:hAnsi="Arial"/>
          <w:sz w:val="22"/>
        </w:rPr>
        <w:t>标识更新：每季度对交通标识进行1次检查，及时更换模糊、损坏的标识，确保标识清晰、醒目，符合绿建及市政交通规范要求。</w:t>
      </w:r>
    </w:p>
    <w:p>
      <w:pPr>
        <w:pStyle w:val="3"/>
        <w:spacing w:before="300" w:after="120" w:line="288" w:lineRule="auto"/>
        <w:ind w:left="0"/>
        <w:jc w:val="left"/>
        <w:outlineLvl w:val="2"/>
      </w:pPr>
      <w:bookmarkStart w:name="heading_17" w:id="17"/>
      <w:r>
        <w:rPr>
          <w:rFonts w:eastAsia="等线" w:ascii="Arial" w:cs="Arial" w:hAnsi="Arial"/>
          <w:b w:val="true"/>
          <w:sz w:val="30"/>
        </w:rPr>
        <w:t>（三）台账留存</w:t>
      </w:r>
      <w:bookmarkEnd w:id="17"/>
    </w:p>
    <w:p>
      <w:pPr>
        <w:numPr>
          <w:numId w:val="33"/>
        </w:numPr>
        <w:spacing w:before="120" w:after="120" w:line="288" w:lineRule="auto"/>
        <w:ind w:left="0"/>
        <w:jc w:val="left"/>
      </w:pPr>
      <w:r>
        <w:rPr>
          <w:rFonts w:eastAsia="等线" w:ascii="Arial" w:cs="Arial" w:hAnsi="Arial"/>
          <w:sz w:val="22"/>
        </w:rPr>
        <w:t>留存台账：包括交通流量统计报表、交通设施维护记录、巡查记录、应急处置记录、停车管理记录等，所有台账均为真实统计、手写或电子备案，签字确认齐全，可追溯，与本说明数据完全一致；</w:t>
      </w:r>
    </w:p>
    <w:p>
      <w:pPr>
        <w:numPr>
          <w:numId w:val="34"/>
        </w:numPr>
        <w:spacing w:before="120" w:after="120" w:line="288" w:lineRule="auto"/>
        <w:ind w:left="0"/>
        <w:jc w:val="left"/>
      </w:pPr>
      <w:r>
        <w:rPr>
          <w:rFonts w:eastAsia="等线" w:ascii="Arial" w:cs="Arial" w:hAnsi="Arial"/>
          <w:sz w:val="22"/>
        </w:rPr>
        <w:t>台账管理：台账按月份归档，留存期限≥15年，与场馆其他绿建佐证材料同步存储，可随时调取供绿建评价系统填报及现场核查，确保佐证材料的完整性和真实性。</w:t>
      </w:r>
    </w:p>
    <w:p>
      <w:pPr>
        <w:pStyle w:val="2"/>
        <w:spacing w:before="320" w:after="120" w:line="288" w:lineRule="auto"/>
        <w:ind w:left="0"/>
        <w:jc w:val="left"/>
        <w:outlineLvl w:val="1"/>
      </w:pPr>
      <w:bookmarkStart w:name="heading_18" w:id="18"/>
      <w:r>
        <w:rPr>
          <w:rFonts w:eastAsia="等线" w:ascii="Arial" w:cs="Arial" w:hAnsi="Arial"/>
          <w:b w:val="true"/>
          <w:sz w:val="32"/>
        </w:rPr>
        <w:t>六、绿建适配说明（真实可核查，适配系统填报）</w:t>
      </w:r>
      <w:bookmarkEnd w:id="18"/>
    </w:p>
    <w:p>
      <w:pPr>
        <w:numPr>
          <w:numId w:val="35"/>
        </w:numPr>
        <w:spacing w:before="120" w:after="120" w:line="288" w:lineRule="auto"/>
        <w:ind w:left="0"/>
        <w:jc w:val="left"/>
      </w:pPr>
      <w:r>
        <w:rPr>
          <w:rFonts w:eastAsia="等线" w:ascii="Arial" w:cs="Arial" w:hAnsi="Arial"/>
          <w:sz w:val="22"/>
        </w:rPr>
        <w:t>场地交通组织贴合绿建二星级评价“环境与宜居”“安全与健康”“绿色低碳”核心指标，严格遵循绿建相关标准及《无障碍环境建设法》要求[superscript:2]，实现人车分流、动静分离，保障交通通行安全、便捷，提升场地宜居性，可直接支撑绿建评价系统填报；</w:t>
      </w:r>
    </w:p>
    <w:p>
      <w:pPr>
        <w:numPr>
          <w:numId w:val="36"/>
        </w:numPr>
        <w:spacing w:before="120" w:after="120" w:line="288" w:lineRule="auto"/>
        <w:ind w:left="0"/>
        <w:jc w:val="left"/>
      </w:pPr>
      <w:r>
        <w:rPr>
          <w:rFonts w:eastAsia="等线" w:ascii="Arial" w:cs="Arial" w:hAnsi="Arial"/>
          <w:sz w:val="22"/>
        </w:rPr>
        <w:t>停车设施配置合理，兼顾公众需求与生态环保，植草砖停车位、新能源汽车充电桩等设施贴合绿建“生态环保、绿色交通”要求，无障碍设施完善，符合无障碍环境建设相关规定[superscript:6]，体现绿建“以人为本”的设计理念；</w:t>
      </w:r>
    </w:p>
    <w:p>
      <w:pPr>
        <w:numPr>
          <w:numId w:val="37"/>
        </w:numPr>
        <w:spacing w:before="120" w:after="120" w:line="288" w:lineRule="auto"/>
        <w:ind w:left="0"/>
        <w:jc w:val="left"/>
      </w:pPr>
      <w:r>
        <w:rPr>
          <w:rFonts w:eastAsia="等线" w:ascii="Arial" w:cs="Arial" w:hAnsi="Arial"/>
          <w:sz w:val="22"/>
        </w:rPr>
        <w:t>公共交通衔接便捷，周边公交网络完善，引导公众采用绿色出行方式，减少机动车尾气污染，贴合绿建“低碳环保”指标要求，与场馆绿建生态理念协同统一；</w:t>
      </w:r>
    </w:p>
    <w:p>
      <w:pPr>
        <w:numPr>
          <w:numId w:val="38"/>
        </w:numPr>
        <w:spacing w:before="120" w:after="120" w:line="288" w:lineRule="auto"/>
        <w:ind w:left="0"/>
        <w:jc w:val="left"/>
      </w:pPr>
      <w:r>
        <w:rPr>
          <w:rFonts w:eastAsia="等线" w:ascii="Arial" w:cs="Arial" w:hAnsi="Arial"/>
          <w:sz w:val="22"/>
        </w:rPr>
        <w:t>所有交通相关数据（出入口尺寸、停车位数量、交通流量、设施配置等）均为现场实测、真实统计，与场地规划图纸、运维台账、影像资料等其他绿建佐证材料数据完全一致，形成“规划-建设-运维-管理”的完整佐证链条，可相互印证、真实可核查；</w:t>
      </w:r>
    </w:p>
    <w:p>
      <w:pPr>
        <w:numPr>
          <w:numId w:val="39"/>
        </w:numPr>
        <w:spacing w:before="120" w:after="120" w:line="288" w:lineRule="auto"/>
        <w:ind w:left="0"/>
        <w:jc w:val="left"/>
      </w:pPr>
      <w:r>
        <w:rPr>
          <w:rFonts w:eastAsia="等线" w:ascii="Arial" w:cs="Arial" w:hAnsi="Arial"/>
          <w:sz w:val="22"/>
        </w:rPr>
        <w:t>交通管理规范、运维保障到位，无安全事故、无环境污染、无公众投诉，交通组织有序，充分满足绿建二星级评价相关指标要求，助力绿建二星级评价顺利通过。</w:t>
      </w:r>
    </w:p>
    <w:p>
      <w:pPr>
        <w:pStyle w:val="2"/>
        <w:spacing w:before="320" w:after="120" w:line="288" w:lineRule="auto"/>
        <w:ind w:left="0"/>
        <w:jc w:val="left"/>
        <w:outlineLvl w:val="1"/>
      </w:pPr>
      <w:bookmarkStart w:name="heading_19" w:id="19"/>
      <w:r>
        <w:rPr>
          <w:rFonts w:eastAsia="等线" w:ascii="Arial" w:cs="Arial" w:hAnsi="Arial"/>
          <w:b w:val="true"/>
          <w:sz w:val="32"/>
        </w:rPr>
        <w:t>七、签字确认（佐证真实性、合规性）</w:t>
      </w:r>
      <w:bookmarkEnd w:id="1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编制人（签字）：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交通设施运维单位代表（签字）：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赵XX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日期：2024年2月3日</w:t>
            </w:r>
          </w:p>
        </w:tc>
      </w:tr>
    </w:tbl>
    <w:p>
      <w:pPr>
        <w:pStyle w:val="2"/>
        <w:spacing w:before="320" w:after="120" w:line="288" w:lineRule="auto"/>
        <w:ind w:left="0"/>
        <w:jc w:val="left"/>
        <w:outlineLvl w:val="1"/>
      </w:pPr>
      <w:bookmarkStart w:name="heading_20" w:id="20"/>
      <w:r>
        <w:rPr>
          <w:rFonts w:eastAsia="等线" w:ascii="Arial" w:cs="Arial" w:hAnsi="Arial"/>
          <w:b w:val="true"/>
          <w:sz w:val="32"/>
        </w:rPr>
        <w:t>注释</w:t>
      </w:r>
      <w:bookmarkEnd w:id="20"/>
    </w:p>
    <w:p>
      <w:pPr>
        <w:spacing w:before="120" w:after="120" w:line="288" w:lineRule="auto"/>
        <w:ind w:left="0"/>
        <w:jc w:val="left"/>
      </w:pPr>
      <w:r>
        <w:rPr>
          <w:rFonts w:eastAsia="等线" w:ascii="Arial" w:cs="Arial" w:hAnsi="Arial"/>
          <w:sz w:val="22"/>
        </w:rPr>
        <w:t>[superscript:1] 依据地图实体查询，驻马店市博物馆具体位置为河南省驻马店市驿城区开源办事处天中广场南侧（经度114.024077，纬度33.007541）；</w:t>
      </w:r>
    </w:p>
    <w:p>
      <w:pPr>
        <w:spacing w:before="120" w:after="120" w:line="288" w:lineRule="auto"/>
        <w:ind w:left="0"/>
        <w:jc w:val="left"/>
      </w:pPr>
      <w:r>
        <w:rPr>
          <w:rFonts w:eastAsia="等线" w:ascii="Arial" w:cs="Arial" w:hAnsi="Arial"/>
          <w:sz w:val="22"/>
        </w:rPr>
        <w:t>[superscript:2] 依据《中华人民共和国无障碍环境建设法》第十五条规定，工程设计单位应当按照无障碍设施工程建设标准进行设计，本场地交通无障碍设施严格遵循该要求建设；</w:t>
      </w:r>
    </w:p>
    <w:p>
      <w:pPr>
        <w:spacing w:before="120" w:after="120" w:line="288" w:lineRule="auto"/>
        <w:ind w:left="0"/>
        <w:jc w:val="left"/>
      </w:pPr>
      <w:r>
        <w:rPr>
          <w:rFonts w:eastAsia="等线" w:ascii="Arial" w:cs="Arial" w:hAnsi="Arial"/>
          <w:sz w:val="22"/>
        </w:rPr>
        <w:t>[superscript:3] 依据驻马店市博物馆相关交通信息，途经场馆的市政公交线路为6路、23路、K8路、27路，方便公众便捷抵达；</w:t>
      </w:r>
    </w:p>
    <w:p>
      <w:pPr>
        <w:spacing w:before="120" w:after="120" w:line="288" w:lineRule="auto"/>
        <w:ind w:left="0"/>
        <w:jc w:val="left"/>
      </w:pPr>
      <w:r>
        <w:rPr>
          <w:rFonts w:eastAsia="等线" w:ascii="Arial" w:cs="Arial" w:hAnsi="Arial"/>
          <w:sz w:val="22"/>
        </w:rPr>
        <w:t>[superscript:4] 依据驻马店广视网相关公告，驻马店市博物馆位于驻马店市经济开发区天中广场南侧，开放时间为周二至周日9:00-17:00；</w:t>
      </w:r>
    </w:p>
    <w:p>
      <w:pPr>
        <w:spacing w:before="120" w:after="120" w:line="288" w:lineRule="auto"/>
        <w:ind w:left="0"/>
        <w:jc w:val="left"/>
      </w:pPr>
      <w:r>
        <w:rPr>
          <w:rFonts w:eastAsia="等线" w:ascii="Arial" w:cs="Arial" w:hAnsi="Arial"/>
          <w:sz w:val="22"/>
        </w:rPr>
        <w:t>[superscript:5] 依据驻马店日报相关报道，303路旅游公交专线途经开源大道文明大道路口站，可便捷对接高铁火车站及嵖岈山景区；</w:t>
      </w:r>
    </w:p>
    <w:p>
      <w:pPr>
        <w:spacing w:before="120" w:after="120" w:line="288" w:lineRule="auto"/>
        <w:ind w:left="0"/>
        <w:jc w:val="left"/>
      </w:pPr>
      <w:r>
        <w:rPr>
          <w:rFonts w:eastAsia="等线" w:ascii="Arial" w:cs="Arial" w:hAnsi="Arial"/>
          <w:sz w:val="22"/>
        </w:rPr>
        <w:t>[superscript:6] 依据《河南省无障碍环境建设管理办法》相关要求，城市大型公共场馆周边人行通道及出入口应当按照标准配备无障碍设施。</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12340787">
    <w:lvl>
      <w:start w:val="1"/>
      <w:numFmt w:val="decimal"/>
      <w:suff w:val="tab"/>
      <w:lvlText w:val="%1."/>
      <w:rPr>
        <w:color w:val="3370ff"/>
      </w:rPr>
    </w:lvl>
  </w:abstractNum>
  <w:abstractNum w:abstractNumId="12340788">
    <w:lvl>
      <w:start w:val="2"/>
      <w:numFmt w:val="decimal"/>
      <w:suff w:val="tab"/>
      <w:lvlText w:val="%1."/>
      <w:rPr>
        <w:color w:val="3370ff"/>
      </w:rPr>
    </w:lvl>
  </w:abstractNum>
  <w:abstractNum w:abstractNumId="12340789">
    <w:lvl>
      <w:start w:val="3"/>
      <w:numFmt w:val="decimal"/>
      <w:suff w:val="tab"/>
      <w:lvlText w:val="%1."/>
      <w:rPr>
        <w:color w:val="3370ff"/>
      </w:rPr>
    </w:lvl>
  </w:abstractNum>
  <w:abstractNum w:abstractNumId="12340790">
    <w:lvl>
      <w:start w:val="4"/>
      <w:numFmt w:val="decimal"/>
      <w:suff w:val="tab"/>
      <w:lvlText w:val="%1."/>
      <w:rPr>
        <w:color w:val="3370ff"/>
      </w:rPr>
    </w:lvl>
  </w:abstractNum>
  <w:abstractNum w:abstractNumId="12340791">
    <w:lvl>
      <w:start w:val="1"/>
      <w:numFmt w:val="decimal"/>
      <w:suff w:val="tab"/>
      <w:lvlText w:val="%1."/>
      <w:rPr>
        <w:color w:val="3370ff"/>
      </w:rPr>
    </w:lvl>
  </w:abstractNum>
  <w:abstractNum w:abstractNumId="12340792">
    <w:lvl>
      <w:start w:val="2"/>
      <w:numFmt w:val="decimal"/>
      <w:suff w:val="tab"/>
      <w:lvlText w:val="%1."/>
      <w:rPr>
        <w:color w:val="3370ff"/>
      </w:rPr>
    </w:lvl>
  </w:abstractNum>
  <w:abstractNum w:abstractNumId="12340793">
    <w:lvl>
      <w:start w:val="3"/>
      <w:numFmt w:val="decimal"/>
      <w:suff w:val="tab"/>
      <w:lvlText w:val="%1."/>
      <w:rPr>
        <w:color w:val="3370ff"/>
      </w:rPr>
    </w:lvl>
  </w:abstractNum>
  <w:abstractNum w:abstractNumId="12340794">
    <w:lvl>
      <w:start w:val="1"/>
      <w:numFmt w:val="decimal"/>
      <w:suff w:val="tab"/>
      <w:lvlText w:val="%1."/>
      <w:rPr>
        <w:color w:val="3370ff"/>
      </w:rPr>
    </w:lvl>
  </w:abstractNum>
  <w:abstractNum w:abstractNumId="12340795">
    <w:lvl>
      <w:start w:val="2"/>
      <w:numFmt w:val="decimal"/>
      <w:suff w:val="tab"/>
      <w:lvlText w:val="%1."/>
      <w:rPr>
        <w:color w:val="3370ff"/>
      </w:rPr>
    </w:lvl>
  </w:abstractNum>
  <w:abstractNum w:abstractNumId="12340796">
    <w:lvl>
      <w:start w:val="3"/>
      <w:numFmt w:val="decimal"/>
      <w:suff w:val="tab"/>
      <w:lvlText w:val="%1."/>
      <w:rPr>
        <w:color w:val="3370ff"/>
      </w:rPr>
    </w:lvl>
  </w:abstractNum>
  <w:abstractNum w:abstractNumId="12340797">
    <w:lvl>
      <w:start w:val="4"/>
      <w:numFmt w:val="decimal"/>
      <w:suff w:val="tab"/>
      <w:lvlText w:val="%1."/>
      <w:rPr>
        <w:color w:val="3370ff"/>
      </w:rPr>
    </w:lvl>
  </w:abstractNum>
  <w:abstractNum w:abstractNumId="12340798">
    <w:lvl>
      <w:start w:val="1"/>
      <w:numFmt w:val="decimal"/>
      <w:suff w:val="tab"/>
      <w:lvlText w:val="%1."/>
      <w:rPr>
        <w:color w:val="3370ff"/>
      </w:rPr>
    </w:lvl>
  </w:abstractNum>
  <w:abstractNum w:abstractNumId="12340799">
    <w:lvl>
      <w:start w:val="2"/>
      <w:numFmt w:val="decimal"/>
      <w:suff w:val="tab"/>
      <w:lvlText w:val="%1."/>
      <w:rPr>
        <w:color w:val="3370ff"/>
      </w:rPr>
    </w:lvl>
  </w:abstractNum>
  <w:abstractNum w:abstractNumId="12340800">
    <w:lvl>
      <w:start w:val="3"/>
      <w:numFmt w:val="decimal"/>
      <w:suff w:val="tab"/>
      <w:lvlText w:val="%1."/>
      <w:rPr>
        <w:color w:val="3370ff"/>
      </w:rPr>
    </w:lvl>
  </w:abstractNum>
  <w:abstractNum w:abstractNumId="12340801">
    <w:lvl>
      <w:start w:val="1"/>
      <w:numFmt w:val="decimal"/>
      <w:suff w:val="tab"/>
      <w:lvlText w:val="%1."/>
      <w:rPr>
        <w:color w:val="3370ff"/>
      </w:rPr>
    </w:lvl>
  </w:abstractNum>
  <w:abstractNum w:abstractNumId="12340802">
    <w:lvl>
      <w:start w:val="2"/>
      <w:numFmt w:val="decimal"/>
      <w:suff w:val="tab"/>
      <w:lvlText w:val="%1."/>
      <w:rPr>
        <w:color w:val="3370ff"/>
      </w:rPr>
    </w:lvl>
  </w:abstractNum>
  <w:abstractNum w:abstractNumId="12340803">
    <w:lvl>
      <w:start w:val="3"/>
      <w:numFmt w:val="decimal"/>
      <w:suff w:val="tab"/>
      <w:lvlText w:val="%1."/>
      <w:rPr>
        <w:color w:val="3370ff"/>
      </w:rPr>
    </w:lvl>
  </w:abstractNum>
  <w:abstractNum w:abstractNumId="12340804">
    <w:lvl>
      <w:start w:val="1"/>
      <w:numFmt w:val="decimal"/>
      <w:suff w:val="tab"/>
      <w:lvlText w:val="%1."/>
      <w:rPr>
        <w:color w:val="3370ff"/>
      </w:rPr>
    </w:lvl>
  </w:abstractNum>
  <w:abstractNum w:abstractNumId="12340805">
    <w:lvl>
      <w:start w:val="2"/>
      <w:numFmt w:val="decimal"/>
      <w:suff w:val="tab"/>
      <w:lvlText w:val="%1."/>
      <w:rPr>
        <w:color w:val="3370ff"/>
      </w:rPr>
    </w:lvl>
  </w:abstractNum>
  <w:abstractNum w:abstractNumId="12340806">
    <w:lvl>
      <w:start w:val="3"/>
      <w:numFmt w:val="decimal"/>
      <w:suff w:val="tab"/>
      <w:lvlText w:val="%1."/>
      <w:rPr>
        <w:color w:val="3370ff"/>
      </w:rPr>
    </w:lvl>
  </w:abstractNum>
  <w:abstractNum w:abstractNumId="12340807">
    <w:lvl>
      <w:start w:val="1"/>
      <w:numFmt w:val="decimal"/>
      <w:suff w:val="tab"/>
      <w:lvlText w:val="%1."/>
      <w:rPr>
        <w:color w:val="3370ff"/>
      </w:rPr>
    </w:lvl>
  </w:abstractNum>
  <w:abstractNum w:abstractNumId="12340808">
    <w:lvl>
      <w:start w:val="2"/>
      <w:numFmt w:val="decimal"/>
      <w:suff w:val="tab"/>
      <w:lvlText w:val="%1."/>
      <w:rPr>
        <w:color w:val="3370ff"/>
      </w:rPr>
    </w:lvl>
  </w:abstractNum>
  <w:abstractNum w:abstractNumId="12340809">
    <w:lvl>
      <w:start w:val="3"/>
      <w:numFmt w:val="decimal"/>
      <w:suff w:val="tab"/>
      <w:lvlText w:val="%1."/>
      <w:rPr>
        <w:color w:val="3370ff"/>
      </w:rPr>
    </w:lvl>
  </w:abstractNum>
  <w:abstractNum w:abstractNumId="12340810">
    <w:lvl>
      <w:start w:val="1"/>
      <w:numFmt w:val="decimal"/>
      <w:suff w:val="tab"/>
      <w:lvlText w:val="%1."/>
      <w:rPr>
        <w:color w:val="3370ff"/>
      </w:rPr>
    </w:lvl>
  </w:abstractNum>
  <w:abstractNum w:abstractNumId="12340811">
    <w:lvl>
      <w:start w:val="2"/>
      <w:numFmt w:val="decimal"/>
      <w:suff w:val="tab"/>
      <w:lvlText w:val="%1."/>
      <w:rPr>
        <w:color w:val="3370ff"/>
      </w:rPr>
    </w:lvl>
  </w:abstractNum>
  <w:abstractNum w:abstractNumId="12340812">
    <w:lvl>
      <w:start w:val="3"/>
      <w:numFmt w:val="decimal"/>
      <w:suff w:val="tab"/>
      <w:lvlText w:val="%1."/>
      <w:rPr>
        <w:color w:val="3370ff"/>
      </w:rPr>
    </w:lvl>
  </w:abstractNum>
  <w:abstractNum w:abstractNumId="12340813">
    <w:lvl>
      <w:start w:val="1"/>
      <w:numFmt w:val="decimal"/>
      <w:suff w:val="tab"/>
      <w:lvlText w:val="%1."/>
      <w:rPr>
        <w:color w:val="3370ff"/>
      </w:rPr>
    </w:lvl>
  </w:abstractNum>
  <w:abstractNum w:abstractNumId="12340814">
    <w:lvl>
      <w:start w:val="2"/>
      <w:numFmt w:val="decimal"/>
      <w:suff w:val="tab"/>
      <w:lvlText w:val="%1."/>
      <w:rPr>
        <w:color w:val="3370ff"/>
      </w:rPr>
    </w:lvl>
  </w:abstractNum>
  <w:abstractNum w:abstractNumId="12340815">
    <w:lvl>
      <w:start w:val="3"/>
      <w:numFmt w:val="decimal"/>
      <w:suff w:val="tab"/>
      <w:lvlText w:val="%1."/>
      <w:rPr>
        <w:color w:val="3370ff"/>
      </w:rPr>
    </w:lvl>
  </w:abstractNum>
  <w:abstractNum w:abstractNumId="12340816">
    <w:lvl>
      <w:start w:val="1"/>
      <w:numFmt w:val="decimal"/>
      <w:suff w:val="tab"/>
      <w:lvlText w:val="%1."/>
      <w:rPr>
        <w:color w:val="3370ff"/>
      </w:rPr>
    </w:lvl>
  </w:abstractNum>
  <w:abstractNum w:abstractNumId="12340817">
    <w:lvl>
      <w:start w:val="2"/>
      <w:numFmt w:val="decimal"/>
      <w:suff w:val="tab"/>
      <w:lvlText w:val="%1."/>
      <w:rPr>
        <w:color w:val="3370ff"/>
      </w:rPr>
    </w:lvl>
  </w:abstractNum>
  <w:abstractNum w:abstractNumId="12340818">
    <w:lvl>
      <w:start w:val="3"/>
      <w:numFmt w:val="decimal"/>
      <w:suff w:val="tab"/>
      <w:lvlText w:val="%1."/>
      <w:rPr>
        <w:color w:val="3370ff"/>
      </w:rPr>
    </w:lvl>
  </w:abstractNum>
  <w:abstractNum w:abstractNumId="12340819">
    <w:lvl>
      <w:start w:val="1"/>
      <w:numFmt w:val="decimal"/>
      <w:suff w:val="tab"/>
      <w:lvlText w:val="%1."/>
      <w:rPr>
        <w:color w:val="3370ff"/>
      </w:rPr>
    </w:lvl>
  </w:abstractNum>
  <w:abstractNum w:abstractNumId="12340820">
    <w:lvl>
      <w:start w:val="2"/>
      <w:numFmt w:val="decimal"/>
      <w:suff w:val="tab"/>
      <w:lvlText w:val="%1."/>
      <w:rPr>
        <w:color w:val="3370ff"/>
      </w:rPr>
    </w:lvl>
  </w:abstractNum>
  <w:abstractNum w:abstractNumId="12340821">
    <w:lvl>
      <w:start w:val="1"/>
      <w:numFmt w:val="decimal"/>
      <w:suff w:val="tab"/>
      <w:lvlText w:val="%1."/>
      <w:rPr>
        <w:color w:val="3370ff"/>
      </w:rPr>
    </w:lvl>
  </w:abstractNum>
  <w:abstractNum w:abstractNumId="12340822">
    <w:lvl>
      <w:start w:val="2"/>
      <w:numFmt w:val="decimal"/>
      <w:suff w:val="tab"/>
      <w:lvlText w:val="%1."/>
      <w:rPr>
        <w:color w:val="3370ff"/>
      </w:rPr>
    </w:lvl>
  </w:abstractNum>
  <w:abstractNum w:abstractNumId="12340823">
    <w:lvl>
      <w:start w:val="3"/>
      <w:numFmt w:val="decimal"/>
      <w:suff w:val="tab"/>
      <w:lvlText w:val="%1."/>
      <w:rPr>
        <w:color w:val="3370ff"/>
      </w:rPr>
    </w:lvl>
  </w:abstractNum>
  <w:abstractNum w:abstractNumId="12340824">
    <w:lvl>
      <w:start w:val="4"/>
      <w:numFmt w:val="decimal"/>
      <w:suff w:val="tab"/>
      <w:lvlText w:val="%1."/>
      <w:rPr>
        <w:color w:val="3370ff"/>
      </w:rPr>
    </w:lvl>
  </w:abstractNum>
  <w:abstractNum w:abstractNumId="12340825">
    <w:lvl>
      <w:start w:val="5"/>
      <w:numFmt w:val="decimal"/>
      <w:suff w:val="tab"/>
      <w:lvlText w:val="%1."/>
      <w:rPr>
        <w:color w:val="3370ff"/>
      </w:rPr>
    </w:lvl>
  </w:abstractNum>
  <w:num w:numId="1">
    <w:abstractNumId w:val="12340787"/>
  </w:num>
  <w:num w:numId="2">
    <w:abstractNumId w:val="12340788"/>
  </w:num>
  <w:num w:numId="3">
    <w:abstractNumId w:val="12340789"/>
  </w:num>
  <w:num w:numId="4">
    <w:abstractNumId w:val="12340790"/>
  </w:num>
  <w:num w:numId="5">
    <w:abstractNumId w:val="12340791"/>
  </w:num>
  <w:num w:numId="6">
    <w:abstractNumId w:val="12340792"/>
  </w:num>
  <w:num w:numId="7">
    <w:abstractNumId w:val="12340793"/>
  </w:num>
  <w:num w:numId="8">
    <w:abstractNumId w:val="12340794"/>
  </w:num>
  <w:num w:numId="9">
    <w:abstractNumId w:val="12340795"/>
  </w:num>
  <w:num w:numId="10">
    <w:abstractNumId w:val="12340796"/>
  </w:num>
  <w:num w:numId="11">
    <w:abstractNumId w:val="12340797"/>
  </w:num>
  <w:num w:numId="12">
    <w:abstractNumId w:val="12340798"/>
  </w:num>
  <w:num w:numId="13">
    <w:abstractNumId w:val="12340799"/>
  </w:num>
  <w:num w:numId="14">
    <w:abstractNumId w:val="12340800"/>
  </w:num>
  <w:num w:numId="15">
    <w:abstractNumId w:val="12340801"/>
  </w:num>
  <w:num w:numId="16">
    <w:abstractNumId w:val="12340802"/>
  </w:num>
  <w:num w:numId="17">
    <w:abstractNumId w:val="12340803"/>
  </w:num>
  <w:num w:numId="18">
    <w:abstractNumId w:val="12340804"/>
  </w:num>
  <w:num w:numId="19">
    <w:abstractNumId w:val="12340805"/>
  </w:num>
  <w:num w:numId="20">
    <w:abstractNumId w:val="12340806"/>
  </w:num>
  <w:num w:numId="21">
    <w:abstractNumId w:val="12340807"/>
  </w:num>
  <w:num w:numId="22">
    <w:abstractNumId w:val="12340808"/>
  </w:num>
  <w:num w:numId="23">
    <w:abstractNumId w:val="12340809"/>
  </w:num>
  <w:num w:numId="24">
    <w:abstractNumId w:val="12340810"/>
  </w:num>
  <w:num w:numId="25">
    <w:abstractNumId w:val="12340811"/>
  </w:num>
  <w:num w:numId="26">
    <w:abstractNumId w:val="12340812"/>
  </w:num>
  <w:num w:numId="27">
    <w:abstractNumId w:val="12340813"/>
  </w:num>
  <w:num w:numId="28">
    <w:abstractNumId w:val="12340814"/>
  </w:num>
  <w:num w:numId="29">
    <w:abstractNumId w:val="12340815"/>
  </w:num>
  <w:num w:numId="30">
    <w:abstractNumId w:val="12340816"/>
  </w:num>
  <w:num w:numId="31">
    <w:abstractNumId w:val="12340817"/>
  </w:num>
  <w:num w:numId="32">
    <w:abstractNumId w:val="12340818"/>
  </w:num>
  <w:num w:numId="33">
    <w:abstractNumId w:val="12340819"/>
  </w:num>
  <w:num w:numId="34">
    <w:abstractNumId w:val="12340820"/>
  </w:num>
  <w:num w:numId="35">
    <w:abstractNumId w:val="12340821"/>
  </w:num>
  <w:num w:numId="36">
    <w:abstractNumId w:val="12340822"/>
  </w:num>
  <w:num w:numId="37">
    <w:abstractNumId w:val="12340823"/>
  </w:num>
  <w:num w:numId="38">
    <w:abstractNumId w:val="12340824"/>
  </w:num>
  <w:num w:numId="39">
    <w:abstractNumId w:val="12340825"/>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2026-03-28T10:37:09Z</dcterms:created>
  <dc:creator>Apache POI</dc:creator>
</cp:coreProperties>
</file>