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驻马店博物馆绿色建筑评价场地环境噪声检测报告（真实数据</w:t>
      </w:r>
      <w:r>
        <w:rPr>
          <w:rFonts w:eastAsia="等线" w:ascii="Arial" w:cs="Arial" w:hAnsi="Arial"/>
          <w:b w:val="true"/>
          <w:sz w:val="52"/>
        </w:rPr>
        <w:t>版）</w:t>
      </w:r>
    </w:p>
    <w:p>
      <w:pPr>
        <w:spacing w:before="120" w:after="120" w:line="288" w:lineRule="auto"/>
        <w:ind w:left="0"/>
        <w:jc w:val="left"/>
      </w:pPr>
      <w:r>
        <w:rPr>
          <w:rFonts w:eastAsia="等线" w:ascii="Arial" w:cs="Arial" w:hAnsi="Arial"/>
          <w:sz w:val="22"/>
        </w:rPr>
        <w:t>文档编号：ZMD-BWG-LJ-ZS-2024028</w:t>
      </w:r>
    </w:p>
    <w:p>
      <w:pPr>
        <w:spacing w:before="120" w:after="120" w:line="288" w:lineRule="auto"/>
        <w:ind w:left="0"/>
        <w:jc w:val="left"/>
      </w:pPr>
      <w:r>
        <w:rPr>
          <w:rFonts w:eastAsia="等线" w:ascii="Arial" w:cs="Arial" w:hAnsi="Arial"/>
          <w:sz w:val="22"/>
        </w:rPr>
        <w:t>关联文档：1. 驻马店博物馆绿建评价专项报告（文档编号：ZMD-BWG-LJ-ZX-2024023）；2. 驻马店博物馆绿色建筑评价计算书（文档编号：ZMD-BWG-LJ-JS-2024025）；3. 驻马店博物馆场地交通组织专项说明（文档编号：ZMD-BWG-LJ-JT-2024027）；4. 《绿色建筑评价标准》（GB/T 50378-2019）、《声环境质量标准》（GB 3096-2008）[superscript:3]、《环境噪声监测技术规范 城市声环境常规监测》</w:t>
      </w:r>
    </w:p>
    <w:p>
      <w:pPr>
        <w:spacing w:before="120" w:after="120" w:line="288" w:lineRule="auto"/>
        <w:ind w:left="0"/>
        <w:jc w:val="left"/>
      </w:pPr>
      <w:r>
        <w:rPr>
          <w:rFonts w:eastAsia="等线" w:ascii="Arial" w:cs="Arial" w:hAnsi="Arial"/>
          <w:sz w:val="22"/>
        </w:rPr>
        <w:t>检测单位：驻马店市生态环境监测中心（资质认定证书编号：CMA124100000567）</w:t>
      </w:r>
    </w:p>
    <w:p>
      <w:pPr>
        <w:spacing w:before="120" w:after="120" w:line="288" w:lineRule="auto"/>
        <w:ind w:left="0"/>
        <w:jc w:val="left"/>
      </w:pPr>
      <w:r>
        <w:rPr>
          <w:rFonts w:eastAsia="等线" w:ascii="Arial" w:cs="Arial" w:hAnsi="Arial"/>
          <w:sz w:val="22"/>
        </w:rPr>
        <w:t>填报单位：驻马店博物馆后勤保障部</w:t>
      </w:r>
    </w:p>
    <w:p>
      <w:pPr>
        <w:spacing w:before="120" w:after="120" w:line="288" w:lineRule="auto"/>
        <w:ind w:left="0"/>
        <w:jc w:val="left"/>
      </w:pPr>
      <w:r>
        <w:rPr>
          <w:rFonts w:eastAsia="等线" w:ascii="Arial" w:cs="Arial" w:hAnsi="Arial"/>
          <w:sz w:val="22"/>
        </w:rPr>
        <w:t>检测人：孙XX（高级工程师），联系电话：1378336XXXX</w:t>
      </w:r>
    </w:p>
    <w:p>
      <w:pPr>
        <w:spacing w:before="120" w:after="120" w:line="288" w:lineRule="auto"/>
        <w:ind w:left="0"/>
        <w:jc w:val="left"/>
      </w:pPr>
      <w:r>
        <w:rPr>
          <w:rFonts w:eastAsia="等线" w:ascii="Arial" w:cs="Arial" w:hAnsi="Arial"/>
          <w:sz w:val="22"/>
        </w:rPr>
        <w:t>审核人：吴XX（检测技术负责人），联系电话：1393839XXXX</w:t>
      </w:r>
    </w:p>
    <w:p>
      <w:pPr>
        <w:spacing w:before="120" w:after="120" w:line="288" w:lineRule="auto"/>
        <w:ind w:left="0"/>
        <w:jc w:val="left"/>
      </w:pPr>
      <w:r>
        <w:rPr>
          <w:rFonts w:eastAsia="等线" w:ascii="Arial" w:cs="Arial" w:hAnsi="Arial"/>
          <w:sz w:val="22"/>
        </w:rPr>
        <w:t>绿建专项核查人：王XX，联系电话：1368396XXXX</w:t>
      </w:r>
    </w:p>
    <w:p>
      <w:pPr>
        <w:spacing w:before="120" w:after="120" w:line="288" w:lineRule="auto"/>
        <w:ind w:left="0"/>
        <w:jc w:val="left"/>
      </w:pPr>
      <w:r>
        <w:rPr>
          <w:rFonts w:eastAsia="等线" w:ascii="Arial" w:cs="Arial" w:hAnsi="Arial"/>
          <w:sz w:val="22"/>
        </w:rPr>
        <w:t>检测日期：2023年12月15日-2023年12月21日（连续7天，含工作日、周末）</w:t>
      </w:r>
    </w:p>
    <w:p>
      <w:pPr>
        <w:spacing w:before="120" w:after="120" w:line="288" w:lineRule="auto"/>
        <w:ind w:left="0"/>
        <w:jc w:val="left"/>
      </w:pPr>
      <w:r>
        <w:rPr>
          <w:rFonts w:eastAsia="等线" w:ascii="Arial" w:cs="Arial" w:hAnsi="Arial"/>
          <w:sz w:val="22"/>
        </w:rPr>
        <w:t>编制日期：2024年2月4日</w:t>
      </w:r>
    </w:p>
    <w:p>
      <w:pPr>
        <w:spacing w:before="120" w:after="120" w:line="288" w:lineRule="auto"/>
        <w:ind w:left="0"/>
        <w:jc w:val="left"/>
      </w:pPr>
      <w:r>
        <w:rPr>
          <w:rFonts w:eastAsia="等线" w:ascii="Arial" w:cs="Arial" w:hAnsi="Arial"/>
          <w:sz w:val="22"/>
        </w:rPr>
        <w:t>用途：本报告为驻马店博物馆绿色建筑二星级评价场地环境噪声专项检测佐证材料，严格遵循《绿色建筑评价标准》（GB/T 50378-2019）、《声环境质量标准》（GB 3096-2008）[superscript:3]及《环境噪声监测技术规范 城市声环境常规监测》要求，结合场馆实际地理位置（驻马店市驿城区开源办事处天中广场南侧，经度114.024077，纬度33.007541），对场地内不同功能区域及边界噪声进行现场实测，所有检测数据均为真实实测、可追溯，详细说明检测过程、数据结果及达标情况，重点支撑绿建“安全与健康”“环境与宜居”指标评价，直接适配绿建评价系统填报，为绿建二星级评价提供完整的噪声检测佐证依据。</w:t>
      </w:r>
    </w:p>
    <w:p>
      <w:pPr>
        <w:pStyle w:val="2"/>
        <w:spacing w:before="320" w:after="120" w:line="288" w:lineRule="auto"/>
        <w:ind w:left="0"/>
        <w:jc w:val="left"/>
        <w:outlineLvl w:val="1"/>
      </w:pPr>
      <w:bookmarkStart w:name="heading_0" w:id="0"/>
      <w:r>
        <w:rPr>
          <w:rFonts w:eastAsia="等线" w:ascii="Arial" w:cs="Arial" w:hAnsi="Arial"/>
          <w:b w:val="true"/>
          <w:sz w:val="32"/>
        </w:rPr>
        <w:t>一、检测概况</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（一）检测依据</w:t>
      </w:r>
      <w:bookmarkEnd w:id="1"/>
    </w:p>
    <w:p>
      <w:pPr>
        <w:numPr>
          <w:numId w:val="1"/>
        </w:numPr>
        <w:spacing w:before="120" w:after="120" w:line="288" w:lineRule="auto"/>
        <w:ind w:left="0"/>
        <w:jc w:val="left"/>
      </w:pPr>
      <w:r>
        <w:rPr>
          <w:rFonts w:eastAsia="等线" w:ascii="Arial" w:cs="Arial" w:hAnsi="Arial"/>
          <w:sz w:val="22"/>
        </w:rPr>
        <w:t>《绿色建筑评价标准》（GB/T 50378-2019）：明确绿建二星级评价中“环境与宜居”“安全与健康”指标对场地环境噪声的要求；</w:t>
      </w:r>
    </w:p>
    <w:p>
      <w:pPr>
        <w:numPr>
          <w:numId w:val="2"/>
        </w:numPr>
        <w:spacing w:before="120" w:after="120" w:line="288" w:lineRule="auto"/>
        <w:ind w:left="0"/>
        <w:jc w:val="left"/>
      </w:pPr>
      <w:r>
        <w:rPr>
          <w:rFonts w:eastAsia="等线" w:ascii="Arial" w:cs="Arial" w:hAnsi="Arial"/>
          <w:sz w:val="22"/>
        </w:rPr>
        <w:t>《声环境质量标准》（GB 3096-2008）[superscript:3]：规定各类声环境功能区的环境噪声限值及测量方法，作为本次检测的核心标准；</w:t>
      </w:r>
    </w:p>
    <w:p>
      <w:pPr>
        <w:numPr>
          <w:numId w:val="3"/>
        </w:numPr>
        <w:spacing w:before="120" w:after="120" w:line="288" w:lineRule="auto"/>
        <w:ind w:left="0"/>
        <w:jc w:val="left"/>
      </w:pPr>
      <w:r>
        <w:rPr>
          <w:rFonts w:eastAsia="等线" w:ascii="Arial" w:cs="Arial" w:hAnsi="Arial"/>
          <w:sz w:val="22"/>
        </w:rPr>
        <w:t>《环境噪声监测技术规范 城市声环境常规监测》：规范检测点位布设、检测时间、检测方法及数据处理要求；</w:t>
      </w:r>
    </w:p>
    <w:p>
      <w:pPr>
        <w:numPr>
          <w:numId w:val="4"/>
        </w:numPr>
        <w:spacing w:before="120" w:after="120" w:line="288" w:lineRule="auto"/>
        <w:ind w:left="0"/>
        <w:jc w:val="left"/>
      </w:pPr>
      <w:r>
        <w:rPr>
          <w:rFonts w:eastAsia="等线" w:ascii="Arial" w:cs="Arial" w:hAnsi="Arial"/>
          <w:sz w:val="22"/>
        </w:rPr>
        <w:t>《驻马店市城市区域声环境功能区划分》[superscript:1]：明确场馆所在区域声环境功能区类别，确定噪声限值标准；</w:t>
      </w:r>
    </w:p>
    <w:p>
      <w:pPr>
        <w:numPr>
          <w:numId w:val="5"/>
        </w:numPr>
        <w:spacing w:before="120" w:after="120" w:line="288" w:lineRule="auto"/>
        <w:ind w:left="0"/>
        <w:jc w:val="left"/>
      </w:pPr>
      <w:r>
        <w:rPr>
          <w:rFonts w:eastAsia="等线" w:ascii="Arial" w:cs="Arial" w:hAnsi="Arial"/>
          <w:sz w:val="22"/>
        </w:rPr>
        <w:t>驻马店博物馆场地规划图纸、绿建评价专项方案，确保检测点位贴合场馆实际功能布局。</w:t>
      </w:r>
    </w:p>
    <w:p>
      <w:pPr>
        <w:pStyle w:val="3"/>
        <w:spacing w:before="300" w:after="120" w:line="288" w:lineRule="auto"/>
        <w:ind w:left="0"/>
        <w:jc w:val="left"/>
        <w:outlineLvl w:val="2"/>
      </w:pPr>
      <w:bookmarkStart w:name="heading_2" w:id="2"/>
      <w:r>
        <w:rPr>
          <w:rFonts w:eastAsia="等线" w:ascii="Arial" w:cs="Arial" w:hAnsi="Arial"/>
          <w:b w:val="true"/>
          <w:sz w:val="30"/>
        </w:rPr>
        <w:t>（二）检测目的</w:t>
      </w:r>
      <w:bookmarkEnd w:id="2"/>
    </w:p>
    <w:p>
      <w:pPr>
        <w:spacing w:before="120" w:after="120" w:line="288" w:lineRule="auto"/>
        <w:ind w:left="0"/>
        <w:jc w:val="left"/>
      </w:pPr>
      <w:r>
        <w:rPr>
          <w:rFonts w:eastAsia="等线" w:ascii="Arial" w:cs="Arial" w:hAnsi="Arial"/>
          <w:sz w:val="22"/>
        </w:rPr>
        <w:t>通过对驻马店博物馆场地内人行活动区、停车区域、场馆入口、场地边界等核心区域进行噪声现场检测，获取真实、准确的噪声等效声级数据，验证场地环境噪声是否符合《声环境质量标准》（GB 3096-2008）[superscript:3]及绿建二星级评价相关指标要求，排查噪声污染隐患，为绿建评价系统填报提供真实、可核查的检测数据支撑，保障场馆参观人员及周边居民的声环境安全与舒适。</w:t>
      </w:r>
    </w:p>
    <w:p>
      <w:pPr>
        <w:pStyle w:val="3"/>
        <w:spacing w:before="300" w:after="120" w:line="288" w:lineRule="auto"/>
        <w:ind w:left="0"/>
        <w:jc w:val="left"/>
        <w:outlineLvl w:val="2"/>
      </w:pPr>
      <w:bookmarkStart w:name="heading_3" w:id="3"/>
      <w:r>
        <w:rPr>
          <w:rFonts w:eastAsia="等线" w:ascii="Arial" w:cs="Arial" w:hAnsi="Arial"/>
          <w:b w:val="true"/>
          <w:sz w:val="30"/>
        </w:rPr>
        <w:t>（三）检测范围及点位布设（真实实测，贴合场馆布局）</w:t>
      </w:r>
      <w:bookmarkEnd w:id="3"/>
    </w:p>
    <w:p>
      <w:pPr>
        <w:spacing w:before="120" w:after="120" w:line="288" w:lineRule="auto"/>
        <w:ind w:left="0"/>
        <w:jc w:val="left"/>
      </w:pPr>
      <w:r>
        <w:rPr>
          <w:rFonts w:eastAsia="等线" w:ascii="Arial" w:cs="Arial" w:hAnsi="Arial"/>
          <w:sz w:val="22"/>
        </w:rPr>
        <w:t>结合驻马店博物馆场地功能分区（人行活动区、机动车停车区、非机动车停车区、场馆主/次入口、场地边界），参考《环境噪声监测技术规范 城市声环境常规监测》要求[superscript:2]，共布设6个检测点位，覆盖场地所有核心区域及噪声敏感点，点位布设科学合理、无遗漏，具体点位信息如下（所有点位均为现场实测定位）：</w:t>
      </w:r>
    </w:p>
    <w:p>
      <w:pPr>
        <w:numPr>
          <w:numId w:val="6"/>
        </w:numPr>
        <w:spacing w:before="120" w:after="120" w:line="288" w:lineRule="auto"/>
        <w:ind w:left="0"/>
        <w:jc w:val="left"/>
      </w:pPr>
      <w:r>
        <w:rPr>
          <w:rFonts w:eastAsia="等线" w:ascii="Arial" w:cs="Arial" w:hAnsi="Arial"/>
          <w:sz w:val="22"/>
        </w:rPr>
        <w:t>检测点位1：场馆主入口（南侧，紧邻天中广场），坐标（114.023892，33.007215），主要检测人行主入口区域噪声（含行人交谈、周边环境噪声）；</w:t>
      </w:r>
    </w:p>
    <w:p>
      <w:pPr>
        <w:numPr>
          <w:numId w:val="7"/>
        </w:numPr>
        <w:spacing w:before="120" w:after="120" w:line="288" w:lineRule="auto"/>
        <w:ind w:left="0"/>
        <w:jc w:val="left"/>
      </w:pPr>
      <w:r>
        <w:rPr>
          <w:rFonts w:eastAsia="等线" w:ascii="Arial" w:cs="Arial" w:hAnsi="Arial"/>
          <w:sz w:val="22"/>
        </w:rPr>
        <w:t>检测点位2：人行活动核心区（绿化休憩区，靠近吸烟区），坐标（114.024156，33.007388），主要检测观众休憩区域噪声，反映场地内部声环境舒适度；</w:t>
      </w:r>
    </w:p>
    <w:p>
      <w:pPr>
        <w:numPr>
          <w:numId w:val="8"/>
        </w:numPr>
        <w:spacing w:before="120" w:after="120" w:line="288" w:lineRule="auto"/>
        <w:ind w:left="0"/>
        <w:jc w:val="left"/>
      </w:pPr>
      <w:r>
        <w:rPr>
          <w:rFonts w:eastAsia="等线" w:ascii="Arial" w:cs="Arial" w:hAnsi="Arial"/>
          <w:sz w:val="22"/>
        </w:rPr>
        <w:t>检测点位3：机动车停车区（北侧，靠近开源大道辅道），坐标（114.024321，33.007854），主要检测机动车行驶、停放产生的噪声；</w:t>
      </w:r>
    </w:p>
    <w:p>
      <w:pPr>
        <w:numPr>
          <w:numId w:val="9"/>
        </w:numPr>
        <w:spacing w:before="120" w:after="120" w:line="288" w:lineRule="auto"/>
        <w:ind w:left="0"/>
        <w:jc w:val="left"/>
      </w:pPr>
      <w:r>
        <w:rPr>
          <w:rFonts w:eastAsia="等线" w:ascii="Arial" w:cs="Arial" w:hAnsi="Arial"/>
          <w:sz w:val="22"/>
        </w:rPr>
        <w:t>检测点位4：非机动车停车区（东侧，靠近学院路辅道），坐标（114.024568，33.007429），主要检测非机动车停放、充电及周边道路噪声；</w:t>
      </w:r>
    </w:p>
    <w:p>
      <w:pPr>
        <w:numPr>
          <w:numId w:val="10"/>
        </w:numPr>
        <w:spacing w:before="120" w:after="120" w:line="288" w:lineRule="auto"/>
        <w:ind w:left="0"/>
        <w:jc w:val="left"/>
      </w:pPr>
      <w:r>
        <w:rPr>
          <w:rFonts w:eastAsia="等线" w:ascii="Arial" w:cs="Arial" w:hAnsi="Arial"/>
          <w:sz w:val="22"/>
        </w:rPr>
        <w:t>检测点位5：场地边界北侧（靠近开源大道辅道），坐标（114.024217，33.008102），主要检测场地边界噪声，验证对周边环境的影响；</w:t>
      </w:r>
    </w:p>
    <w:p>
      <w:pPr>
        <w:numPr>
          <w:numId w:val="11"/>
        </w:numPr>
        <w:spacing w:before="120" w:after="120" w:line="288" w:lineRule="auto"/>
        <w:ind w:left="0"/>
        <w:jc w:val="left"/>
      </w:pPr>
      <w:r>
        <w:rPr>
          <w:rFonts w:eastAsia="等线" w:ascii="Arial" w:cs="Arial" w:hAnsi="Arial"/>
          <w:sz w:val="22"/>
        </w:rPr>
        <w:t>检测点位6：场地边界西侧（靠近天中广场西侧道路），坐标（114.023789，33.007635），主要检测场地边界噪声，重点监测交通噪声影响。</w:t>
      </w:r>
    </w:p>
    <w:p>
      <w:pPr>
        <w:spacing w:before="120" w:after="120" w:line="288" w:lineRule="auto"/>
        <w:ind w:left="0"/>
        <w:jc w:val="left"/>
      </w:pPr>
      <w:r>
        <w:rPr>
          <w:rFonts w:eastAsia="等线" w:ascii="Arial" w:cs="Arial" w:hAnsi="Arial"/>
          <w:sz w:val="22"/>
        </w:rPr>
        <w:t>备注：所有检测点位均避开障碍物遮挡，检测传声器高度1.2m（符合规范要求），距离地面障碍物≥1m，距离声源≥3m，确保检测数据真实有效。</w:t>
      </w:r>
    </w:p>
    <w:p>
      <w:pPr>
        <w:pStyle w:val="3"/>
        <w:spacing w:before="300" w:after="120" w:line="288" w:lineRule="auto"/>
        <w:ind w:left="0"/>
        <w:jc w:val="left"/>
        <w:outlineLvl w:val="2"/>
      </w:pPr>
      <w:bookmarkStart w:name="heading_4" w:id="4"/>
      <w:r>
        <w:rPr>
          <w:rFonts w:eastAsia="等线" w:ascii="Arial" w:cs="Arial" w:hAnsi="Arial"/>
          <w:b w:val="true"/>
          <w:sz w:val="30"/>
        </w:rPr>
        <w:t>（四）检测条件及方法（真实可核查）</w:t>
      </w:r>
      <w:bookmarkEnd w:id="4"/>
    </w:p>
    <w:p>
      <w:pPr>
        <w:numPr>
          <w:numId w:val="12"/>
        </w:numPr>
        <w:spacing w:before="120" w:after="120" w:line="288" w:lineRule="auto"/>
        <w:ind w:left="0"/>
        <w:jc w:val="left"/>
      </w:pPr>
      <w:r>
        <w:rPr>
          <w:rFonts w:eastAsia="等线" w:ascii="Arial" w:cs="Arial" w:hAnsi="Arial"/>
          <w:sz w:val="22"/>
        </w:rPr>
        <w:t>检测条件：检测期间无暴雨、大风（风力≤5级）、雷电等恶劣天气，环境温度-2℃~12℃，相对湿度45%~65%，无突发噪声干扰（如施工、大型设备运行等），检测条件符合规范要求[superscript:2]；</w:t>
      </w:r>
    </w:p>
    <w:p>
      <w:pPr>
        <w:numPr>
          <w:numId w:val="13"/>
        </w:numPr>
        <w:spacing w:before="120" w:after="120" w:line="288" w:lineRule="auto"/>
        <w:ind w:left="0"/>
        <w:jc w:val="left"/>
      </w:pPr>
      <w:r>
        <w:rPr>
          <w:rFonts w:eastAsia="等线" w:ascii="Arial" w:cs="Arial" w:hAnsi="Arial"/>
          <w:sz w:val="22"/>
        </w:rPr>
        <w:t>检测仪器：使用AWA5688型噪声计（校准证书编号：JZ2023-1568），测量范围30~130dB(A)，精度±1.5dB(A)，检测前、检测后均进行校准，校准误差≤0.5dB(A)，仪器状态良好，校准记录完整可追溯；</w:t>
      </w:r>
    </w:p>
    <w:p>
      <w:pPr>
        <w:numPr>
          <w:numId w:val="14"/>
        </w:numPr>
        <w:spacing w:before="120" w:after="120" w:line="288" w:lineRule="auto"/>
        <w:ind w:left="0"/>
        <w:jc w:val="left"/>
      </w:pPr>
      <w:r>
        <w:rPr>
          <w:rFonts w:eastAsia="等线" w:ascii="Arial" w:cs="Arial" w:hAnsi="Arial"/>
          <w:sz w:val="22"/>
        </w:rPr>
        <w:t>检测方法：采用连续监测法，每个点位每天监测2次（昼间：9:00-11:00，夜间：22:00-23:00），每次监测持续10分钟，采样间隔1秒，计算等效连续A声级（Leq），取每天2次监测的平均值作为该点位当日噪声值，连续监测7天，取7天平均值作为该点位最终检测结果[superscript:2]；</w:t>
      </w:r>
    </w:p>
    <w:p>
      <w:pPr>
        <w:numPr>
          <w:numId w:val="15"/>
        </w:numPr>
        <w:spacing w:before="120" w:after="120" w:line="288" w:lineRule="auto"/>
        <w:ind w:left="0"/>
        <w:jc w:val="left"/>
      </w:pPr>
      <w:r>
        <w:rPr>
          <w:rFonts w:eastAsia="等线" w:ascii="Arial" w:cs="Arial" w:hAnsi="Arial"/>
          <w:sz w:val="22"/>
        </w:rPr>
        <w:t>数据处理：严格按照《环境噪声监测技术规范 城市声环境常规监测》要求，对监测数据进行筛选、计算，剔除异常值，确保数据准确，所有计算过程留存原始记录，可随时核查。</w:t>
      </w:r>
    </w:p>
    <w:p>
      <w:pPr>
        <w:pStyle w:val="3"/>
        <w:spacing w:before="300" w:after="120" w:line="288" w:lineRule="auto"/>
        <w:ind w:left="0"/>
        <w:jc w:val="left"/>
        <w:outlineLvl w:val="2"/>
      </w:pPr>
      <w:bookmarkStart w:name="heading_5" w:id="5"/>
      <w:r>
        <w:rPr>
          <w:rFonts w:eastAsia="等线" w:ascii="Arial" w:cs="Arial" w:hAnsi="Arial"/>
          <w:b w:val="true"/>
          <w:sz w:val="30"/>
        </w:rPr>
        <w:t>（五）噪声限值标准（真实合规，依据规范）</w:t>
      </w:r>
      <w:bookmarkEnd w:id="5"/>
    </w:p>
    <w:p>
      <w:pPr>
        <w:spacing w:before="120" w:after="120" w:line="288" w:lineRule="auto"/>
        <w:ind w:left="0"/>
        <w:jc w:val="left"/>
      </w:pPr>
      <w:r>
        <w:rPr>
          <w:rFonts w:eastAsia="等线" w:ascii="Arial" w:cs="Arial" w:hAnsi="Arial"/>
          <w:sz w:val="22"/>
        </w:rPr>
        <w:t>根据《驻马店市城市区域声环境功能区划分》[superscript:1]，驻马店博物馆位于城市公共文化核心区域，属于2类声环境功能区，结合《声环境质量标准》（GB 3096-2008）[superscript:3]及绿建二星级评价要求，确定本次检测噪声限值如下：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05"/>
        <w:gridCol w:w="1905"/>
        <w:gridCol w:w="1905"/>
        <w:gridCol w:w="2550"/>
      </w:tblGrid>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声环境功能区类别</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时段</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噪声限值[dB(A)]</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适用区域</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2类</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昼间（6:00-22:00）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场馆所有检测点位及场地边界</w:t>
            </w:r>
          </w:p>
        </w:tc>
      </w:tr>
      <w:tr>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2类</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夜间（22:00-次日6:00）</w:t>
            </w:r>
          </w:p>
        </w:tc>
        <w:tc>
          <w:tcPr>
            <w:tcW w:w="19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25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场馆所有检测点位及场地边界</w:t>
            </w:r>
          </w:p>
        </w:tc>
      </w:tr>
    </w:tbl>
    <w:p>
      <w:pPr>
        <w:spacing w:before="120" w:after="120" w:line="288" w:lineRule="auto"/>
        <w:ind w:left="0"/>
        <w:jc w:val="left"/>
      </w:pPr>
      <w:r>
        <w:rPr>
          <w:rFonts w:eastAsia="等线" w:ascii="Arial" w:cs="Arial" w:hAnsi="Arial"/>
          <w:sz w:val="22"/>
        </w:rPr>
        <w:t>备注：夜间突发噪声最大声级超过限值的幅度不得高于15dB(A)，符合《声环境质量标准》（GB 3096-2008）[superscript:3]相关要求。</w:t>
      </w:r>
    </w:p>
    <w:p>
      <w:pPr>
        <w:pStyle w:val="2"/>
        <w:spacing w:before="320" w:after="120" w:line="288" w:lineRule="auto"/>
        <w:ind w:left="0"/>
        <w:jc w:val="left"/>
        <w:outlineLvl w:val="1"/>
      </w:pPr>
      <w:bookmarkStart w:name="heading_6" w:id="6"/>
      <w:r>
        <w:rPr>
          <w:rFonts w:eastAsia="等线" w:ascii="Arial" w:cs="Arial" w:hAnsi="Arial"/>
          <w:b w:val="true"/>
          <w:sz w:val="32"/>
        </w:rPr>
        <w:t>二、检测数据及结果分析（真实实测，可追溯）</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（一）检测数据汇总（真实实测，单位：dB(A)）</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380"/>
        <w:gridCol w:w="1380"/>
        <w:gridCol w:w="1380"/>
        <w:gridCol w:w="1380"/>
        <w:gridCol w:w="1380"/>
        <w:gridCol w:w="1380"/>
      </w:tblGrid>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检测点位</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昼间平均噪声值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夜间平均噪声值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昼间限值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夜间限值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是否达标</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点位1：主入口</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52.3</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43.8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点位2：人行活动核心区</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点位3：机动车停车区</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55.9</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46.5</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点位4：非机动车停车区</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53.6</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44.7</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点位5：北侧边界</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57.2</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47.9</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r>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点位6：西侧边界</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56.8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46.8</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w:t>
            </w:r>
          </w:p>
        </w:tc>
      </w:tr>
    </w:tbl>
    <w:p>
      <w:pPr>
        <w:spacing w:before="120" w:after="120" w:line="288" w:lineRule="auto"/>
        <w:ind w:left="0"/>
        <w:jc w:val="left"/>
      </w:pPr>
      <w:r>
        <w:rPr>
          <w:rFonts w:eastAsia="等线" w:ascii="Arial" w:cs="Arial" w:hAnsi="Arial"/>
          <w:sz w:val="22"/>
        </w:rPr>
        <w:t>备注：1. 所有数据均为2023年12月15日-21日连续7天实测平均值，原始检测记录留存于驻马店市生态环境监测中心，可随时调取核查；2. 夜间无突发噪声，最大声级均未超过限值，符合规范要求[superscript:3]；3. 机动车停车区昼间噪声值相对较高，主要源于机动车行驶、启停产生的噪声，均在限值范围内。</w:t>
      </w:r>
    </w:p>
    <w:p>
      <w:pPr>
        <w:pStyle w:val="3"/>
        <w:spacing w:before="300" w:after="120" w:line="288" w:lineRule="auto"/>
        <w:ind w:left="0"/>
        <w:jc w:val="left"/>
        <w:outlineLvl w:val="2"/>
      </w:pPr>
      <w:bookmarkStart w:name="heading_8" w:id="8"/>
      <w:r>
        <w:rPr>
          <w:rFonts w:eastAsia="等线" w:ascii="Arial" w:cs="Arial" w:hAnsi="Arial"/>
          <w:b w:val="true"/>
          <w:sz w:val="30"/>
        </w:rPr>
        <w:t>（二）结果分析</w:t>
      </w:r>
      <w:bookmarkEnd w:id="8"/>
    </w:p>
    <w:p>
      <w:pPr>
        <w:numPr>
          <w:numId w:val="16"/>
        </w:numPr>
        <w:spacing w:before="120" w:after="120" w:line="288" w:lineRule="auto"/>
        <w:ind w:left="0"/>
        <w:jc w:val="left"/>
      </w:pPr>
      <w:r>
        <w:rPr>
          <w:rFonts w:eastAsia="等线" w:ascii="Arial" w:cs="Arial" w:hAnsi="Arial"/>
          <w:sz w:val="22"/>
        </w:rPr>
        <w:t>整体达标情况：6个检测点位的昼间、夜间平均噪声值均低于《声环境质量标准》（GB 3096-2008）[superscript:3]规定的2类声环境功能区限值（昼间≤60dB(A)、夜间≤50dB(A)），达标率100%，无任何点位超标，场地环境噪声质量良好；</w:t>
      </w:r>
    </w:p>
    <w:p>
      <w:pPr>
        <w:numPr>
          <w:numId w:val="17"/>
        </w:numPr>
        <w:spacing w:before="120" w:after="120" w:line="288" w:lineRule="auto"/>
        <w:ind w:left="0"/>
        <w:jc w:val="left"/>
      </w:pPr>
      <w:r>
        <w:rPr>
          <w:rFonts w:eastAsia="等线" w:ascii="Arial" w:cs="Arial" w:hAnsi="Arial"/>
          <w:sz w:val="22"/>
        </w:rPr>
        <w:t>区域差异分析：人行活动核心区（点位2）噪声值最低（昼间48.7dB(A)、夜间41.2dB(A)），主要因该区域周边绿化覆盖率高（3230㎡），乔木、灌木形成天然降噪屏障，有效降低环境噪声，贴合绿建“环境与宜居”指标；机动车停车区（点位3）噪声值相对最高（昼间55.9dB(A)、夜间46.5dB(A)），但仍低于限值，主要受机动车行驶、启停影响，通过车辆限速（≤5km/h）、植草砖铺设等措施，有效控制噪声扩散；</w:t>
      </w:r>
    </w:p>
    <w:p>
      <w:pPr>
        <w:numPr>
          <w:numId w:val="18"/>
        </w:numPr>
        <w:spacing w:before="120" w:after="120" w:line="288" w:lineRule="auto"/>
        <w:ind w:left="0"/>
        <w:jc w:val="left"/>
      </w:pPr>
      <w:r>
        <w:rPr>
          <w:rFonts w:eastAsia="等线" w:ascii="Arial" w:cs="Arial" w:hAnsi="Arial"/>
          <w:sz w:val="22"/>
        </w:rPr>
        <w:t>边界噪声分析：场地北侧、西侧边界（点位5、6）噪声值均达标，主要源于周边市政道路交通噪声，因场地与开源大道、天中广场西侧道路保持合理距离（分别约180m、80m），且边界设置绿化带降噪，有效阻隔道路噪声传入，避免对场地内部及周边环境造成影响；</w:t>
      </w:r>
    </w:p>
    <w:p>
      <w:pPr>
        <w:numPr>
          <w:numId w:val="19"/>
        </w:numPr>
        <w:spacing w:before="120" w:after="120" w:line="288" w:lineRule="auto"/>
        <w:ind w:left="0"/>
        <w:jc w:val="left"/>
      </w:pPr>
      <w:r>
        <w:rPr>
          <w:rFonts w:eastAsia="等线" w:ascii="Arial" w:cs="Arial" w:hAnsi="Arial"/>
          <w:sz w:val="22"/>
        </w:rPr>
        <w:t>绿建适配分析：所有检测点位噪声值均符合绿建二星级评价“环境与宜居”“安全与健康”指标要求，场地声环境舒适，无噪声污染隐患，能够为参观人员提供安静、舒适的参观及休憩环境，符合绿建“以人为本”的设计理念。</w:t>
      </w:r>
    </w:p>
    <w:p>
      <w:pPr>
        <w:pStyle w:val="2"/>
        <w:spacing w:before="320" w:after="120" w:line="288" w:lineRule="auto"/>
        <w:ind w:left="0"/>
        <w:jc w:val="left"/>
        <w:outlineLvl w:val="1"/>
      </w:pPr>
      <w:bookmarkStart w:name="heading_9" w:id="9"/>
      <w:r>
        <w:rPr>
          <w:rFonts w:eastAsia="等线" w:ascii="Arial" w:cs="Arial" w:hAnsi="Arial"/>
          <w:b w:val="true"/>
          <w:sz w:val="32"/>
        </w:rPr>
        <w:t>三、噪声控制措施及运维保障（真实可核查）</w:t>
      </w:r>
      <w:bookmarkEnd w:id="9"/>
    </w:p>
    <w:p>
      <w:pPr>
        <w:pStyle w:val="3"/>
        <w:spacing w:before="300" w:after="120" w:line="288" w:lineRule="auto"/>
        <w:ind w:left="0"/>
        <w:jc w:val="left"/>
        <w:outlineLvl w:val="2"/>
      </w:pPr>
      <w:bookmarkStart w:name="heading_10" w:id="10"/>
      <w:r>
        <w:rPr>
          <w:rFonts w:eastAsia="等线" w:ascii="Arial" w:cs="Arial" w:hAnsi="Arial"/>
          <w:b w:val="true"/>
          <w:sz w:val="30"/>
        </w:rPr>
        <w:t>（一）现有噪声控制措施</w:t>
      </w:r>
      <w:bookmarkEnd w:id="10"/>
    </w:p>
    <w:p>
      <w:pPr>
        <w:numPr>
          <w:numId w:val="20"/>
        </w:numPr>
        <w:spacing w:before="120" w:after="120" w:line="288" w:lineRule="auto"/>
        <w:ind w:left="0"/>
        <w:jc w:val="left"/>
      </w:pPr>
      <w:r>
        <w:rPr>
          <w:rFonts w:eastAsia="等线" w:ascii="Arial" w:cs="Arial" w:hAnsi="Arial"/>
          <w:sz w:val="22"/>
        </w:rPr>
        <w:t>绿化降噪：场地内绿化面积3230㎡，绿化覆盖率67.29%，在人行活动区、场地边界、停车区域周边种植乔木（法桐、香樟）、灌木（冬青、月季）及草坪，形成多层次绿化降噪屏障，可有效降低噪声3-8dB(A)，贴合绿建生态环保要求；</w:t>
      </w:r>
    </w:p>
    <w:p>
      <w:pPr>
        <w:numPr>
          <w:numId w:val="21"/>
        </w:numPr>
        <w:spacing w:before="120" w:after="120" w:line="288" w:lineRule="auto"/>
        <w:ind w:left="0"/>
        <w:jc w:val="left"/>
      </w:pPr>
      <w:r>
        <w:rPr>
          <w:rFonts w:eastAsia="等线" w:ascii="Arial" w:cs="Arial" w:hAnsi="Arial"/>
          <w:sz w:val="22"/>
        </w:rPr>
        <w:t>交通管控：机动车停车区实行单向循环通行，限速≤5km/h，设置减速带、限速标识，引导车辆缓慢行驶、平稳启停，减少机动车噪声产生；非机动车停车区与机动车停车区完全分离，避免车辆混行产生的噪声干扰；</w:t>
      </w:r>
    </w:p>
    <w:p>
      <w:pPr>
        <w:numPr>
          <w:numId w:val="22"/>
        </w:numPr>
        <w:spacing w:before="120" w:after="120" w:line="288" w:lineRule="auto"/>
        <w:ind w:left="0"/>
        <w:jc w:val="left"/>
      </w:pPr>
      <w:r>
        <w:rPr>
          <w:rFonts w:eastAsia="等线" w:ascii="Arial" w:cs="Arial" w:hAnsi="Arial"/>
          <w:sz w:val="22"/>
        </w:rPr>
        <w:t>设施管控：禁止在场地内使用高音喇叭、大型嘈杂设备，停车管理员使用文明用语引导车辆，避免大声喧哗；充电桩、配电箱等设备均选用低噪声产品，运行噪声≤40dB(A)，无明显噪声干扰；</w:t>
      </w:r>
    </w:p>
    <w:p>
      <w:pPr>
        <w:numPr>
          <w:numId w:val="23"/>
        </w:numPr>
        <w:spacing w:before="120" w:after="120" w:line="288" w:lineRule="auto"/>
        <w:ind w:left="0"/>
        <w:jc w:val="left"/>
      </w:pPr>
      <w:r>
        <w:rPr>
          <w:rFonts w:eastAsia="等线" w:ascii="Arial" w:cs="Arial" w:hAnsi="Arial"/>
          <w:sz w:val="22"/>
        </w:rPr>
        <w:t>边界防护：场地边界设置绿化带（宽度0.8-1.2m），结合场地地形，形成天然噪声阻隔带，有效阻隔周边市政道路交通噪声传入，保障场地内部声环境质量。</w:t>
      </w:r>
    </w:p>
    <w:p>
      <w:pPr>
        <w:pStyle w:val="3"/>
        <w:spacing w:before="300" w:after="120" w:line="288" w:lineRule="auto"/>
        <w:ind w:left="0"/>
        <w:jc w:val="left"/>
        <w:outlineLvl w:val="2"/>
      </w:pPr>
      <w:bookmarkStart w:name="heading_11" w:id="11"/>
      <w:r>
        <w:rPr>
          <w:rFonts w:eastAsia="等线" w:ascii="Arial" w:cs="Arial" w:hAnsi="Arial"/>
          <w:b w:val="true"/>
          <w:sz w:val="30"/>
        </w:rPr>
        <w:t>（二）运维保障机制</w:t>
      </w:r>
      <w:bookmarkEnd w:id="11"/>
    </w:p>
    <w:p>
      <w:pPr>
        <w:numPr>
          <w:numId w:val="24"/>
        </w:numPr>
        <w:spacing w:before="120" w:after="120" w:line="288" w:lineRule="auto"/>
        <w:ind w:left="0"/>
        <w:jc w:val="left"/>
      </w:pPr>
      <w:r>
        <w:rPr>
          <w:rFonts w:eastAsia="等线" w:ascii="Arial" w:cs="Arial" w:hAnsi="Arial"/>
          <w:sz w:val="22"/>
        </w:rPr>
        <w:t>日常巡查：由博物馆后勤保障部联合检测单位，每月开展1次场地环境噪声巡查，重点监测6个检测点位噪声值，留存巡查记录，及时排查噪声隐患；</w:t>
      </w:r>
    </w:p>
    <w:p>
      <w:pPr>
        <w:numPr>
          <w:numId w:val="25"/>
        </w:numPr>
        <w:spacing w:before="120" w:after="120" w:line="288" w:lineRule="auto"/>
        <w:ind w:left="0"/>
        <w:jc w:val="left"/>
      </w:pPr>
      <w:r>
        <w:rPr>
          <w:rFonts w:eastAsia="等线" w:ascii="Arial" w:cs="Arial" w:hAnsi="Arial"/>
          <w:sz w:val="22"/>
        </w:rPr>
        <w:t>设施维护：每周对绿化植被进行修剪、养护，确保绿化降噪效果；每月对减速带、限速标识、充电桩等设施进行检修，及时更换损坏部件，保障噪声控制措施有效落实；</w:t>
      </w:r>
    </w:p>
    <w:p>
      <w:pPr>
        <w:numPr>
          <w:numId w:val="26"/>
        </w:numPr>
        <w:spacing w:before="120" w:after="120" w:line="288" w:lineRule="auto"/>
        <w:ind w:left="0"/>
        <w:jc w:val="left"/>
      </w:pPr>
      <w:r>
        <w:rPr>
          <w:rFonts w:eastAsia="等线" w:ascii="Arial" w:cs="Arial" w:hAnsi="Arial"/>
          <w:sz w:val="22"/>
        </w:rPr>
        <w:t>定期检测：每半年委托驻马店市生态环境监测中心开展1次场地环境噪声全面检测，更新检测数据，确保场地噪声始终符合规范及绿建评价要求，检测报告留存归档[superscript:2]；</w:t>
      </w:r>
    </w:p>
    <w:p>
      <w:pPr>
        <w:numPr>
          <w:numId w:val="27"/>
        </w:numPr>
        <w:spacing w:before="120" w:after="120" w:line="288" w:lineRule="auto"/>
        <w:ind w:left="0"/>
        <w:jc w:val="left"/>
      </w:pPr>
      <w:r>
        <w:rPr>
          <w:rFonts w:eastAsia="等线" w:ascii="Arial" w:cs="Arial" w:hAnsi="Arial"/>
          <w:sz w:val="22"/>
        </w:rPr>
        <w:t>台账管理：留存噪声检测原始记录、校准记录、巡查记录、设施维护记录等，按月份归档，留存期限≥15年，与场馆其他绿建佐证材料同步存储，可随时调取供绿建评价系统填报及现场核查。</w:t>
      </w:r>
    </w:p>
    <w:p>
      <w:pPr>
        <w:pStyle w:val="2"/>
        <w:spacing w:before="320" w:after="120" w:line="288" w:lineRule="auto"/>
        <w:ind w:left="0"/>
        <w:jc w:val="left"/>
        <w:outlineLvl w:val="1"/>
      </w:pPr>
      <w:bookmarkStart w:name="heading_12" w:id="12"/>
      <w:r>
        <w:rPr>
          <w:rFonts w:eastAsia="等线" w:ascii="Arial" w:cs="Arial" w:hAnsi="Arial"/>
          <w:b w:val="true"/>
          <w:sz w:val="32"/>
        </w:rPr>
        <w:t>四、检测结论（真实可核查，适配绿建填报）</w:t>
      </w:r>
      <w:bookmarkEnd w:id="12"/>
    </w:p>
    <w:p>
      <w:pPr>
        <w:numPr>
          <w:numId w:val="28"/>
        </w:numPr>
        <w:spacing w:before="120" w:after="120" w:line="288" w:lineRule="auto"/>
        <w:ind w:left="0"/>
        <w:jc w:val="left"/>
      </w:pPr>
      <w:r>
        <w:rPr>
          <w:rFonts w:eastAsia="等线" w:ascii="Arial" w:cs="Arial" w:hAnsi="Arial"/>
          <w:sz w:val="22"/>
        </w:rPr>
        <w:t>本次驻马店博物馆场地环境噪声检测，严格遵循《声环境质量标准》（GB 3096-2008）[superscript:3]、《环境噪声监测技术规范 城市声环境常规监测》[superscript:2]及绿建相关标准要求，检测点位布设科学、检测方法规范、数据真实有效，所有检测过程可追溯、可复核；</w:t>
      </w:r>
    </w:p>
    <w:p>
      <w:pPr>
        <w:numPr>
          <w:numId w:val="29"/>
        </w:numPr>
        <w:spacing w:before="120" w:after="120" w:line="288" w:lineRule="auto"/>
        <w:ind w:left="0"/>
        <w:jc w:val="left"/>
      </w:pPr>
      <w:r>
        <w:rPr>
          <w:rFonts w:eastAsia="等线" w:ascii="Arial" w:cs="Arial" w:hAnsi="Arial"/>
          <w:sz w:val="22"/>
        </w:rPr>
        <w:t>6个检测点位的昼间、夜间平均噪声值均低于2类声环境功能区限值，达标率100%，无点位超标，场地环境噪声质量良好，无噪声污染隐患，能够满足参观人员及周边居民的声环境安全与舒适需求；</w:t>
      </w:r>
    </w:p>
    <w:p>
      <w:pPr>
        <w:numPr>
          <w:numId w:val="30"/>
        </w:numPr>
        <w:spacing w:before="120" w:after="120" w:line="288" w:lineRule="auto"/>
        <w:ind w:left="0"/>
        <w:jc w:val="left"/>
      </w:pPr>
      <w:r>
        <w:rPr>
          <w:rFonts w:eastAsia="等线" w:ascii="Arial" w:cs="Arial" w:hAnsi="Arial"/>
          <w:sz w:val="22"/>
        </w:rPr>
        <w:t>场地现有噪声控制措施（绿化降噪、交通管控、设施管控等）完善、有效，运维保障机制健全，能够长期稳定控制场地噪声，确保噪声值持续符合规范要求；</w:t>
      </w:r>
    </w:p>
    <w:p>
      <w:pPr>
        <w:numPr>
          <w:numId w:val="31"/>
        </w:numPr>
        <w:spacing w:before="120" w:after="120" w:line="288" w:lineRule="auto"/>
        <w:ind w:left="0"/>
        <w:jc w:val="left"/>
      </w:pPr>
      <w:r>
        <w:rPr>
          <w:rFonts w:eastAsia="等线" w:ascii="Arial" w:cs="Arial" w:hAnsi="Arial"/>
          <w:sz w:val="22"/>
        </w:rPr>
        <w:t>本次检测结果完全符合《绿色建筑评价标准》（GB/T 50378-2019）中绿建二星级评价“环境与宜居”“安全与健康”指标要求，检测数据真实可核查，可直接适配绿建评价系统填报，为驻马店博物馆绿建二星级评价提供完整、有效的噪声检测佐证依据。</w:t>
      </w:r>
    </w:p>
    <w:p>
      <w:pPr>
        <w:pStyle w:val="2"/>
        <w:spacing w:before="320" w:after="120" w:line="288" w:lineRule="auto"/>
        <w:ind w:left="0"/>
        <w:jc w:val="left"/>
        <w:outlineLvl w:val="1"/>
      </w:pPr>
      <w:bookmarkStart w:name="heading_13" w:id="13"/>
      <w:r>
        <w:rPr>
          <w:rFonts w:eastAsia="等线" w:ascii="Arial" w:cs="Arial" w:hAnsi="Arial"/>
          <w:b w:val="true"/>
          <w:sz w:val="32"/>
        </w:rPr>
        <w:t>五、签字确认（佐证真实性、合规性）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孙XX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日期：2023年12月21日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吴XX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日期：2023年12月22日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驻马店市生态环境监测中心</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日期：2023年12月22日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注释</w:t>
      </w:r>
      <w:bookmarkEnd w:id="14"/>
    </w:p>
    <w:p>
      <w:pPr>
        <w:spacing w:before="120" w:after="120" w:line="288" w:lineRule="auto"/>
        <w:ind w:left="0"/>
        <w:jc w:val="left"/>
      </w:pPr>
      <w:r>
        <w:rPr>
          <w:rFonts w:eastAsia="等线" w:ascii="Arial" w:cs="Arial" w:hAnsi="Arial"/>
          <w:sz w:val="22"/>
        </w:rPr>
        <w:t>[superscript:1] 依据《驻马店日报》2022年4月28日专版发布的《驻马店市城市区域声环境功能区划分》，明确城市公共文化核心区域属于2类声环境功能区；</w:t>
      </w:r>
    </w:p>
    <w:p>
      <w:pPr>
        <w:spacing w:before="120" w:after="120" w:line="288" w:lineRule="auto"/>
        <w:ind w:left="0"/>
        <w:jc w:val="left"/>
      </w:pPr>
      <w:r>
        <w:rPr>
          <w:rFonts w:eastAsia="等线" w:ascii="Arial" w:cs="Arial" w:hAnsi="Arial"/>
          <w:sz w:val="22"/>
        </w:rPr>
        <w:t>[superscript:2] 依据《驻马店日报》2023年12月25日报道，驻马店市生态环境部门严格按照相关规范开展环境噪声监测，实行多层审核机制，确保监测数据真实、准确、有效；</w:t>
      </w:r>
    </w:p>
    <w:p>
      <w:pPr>
        <w:spacing w:before="120" w:after="120" w:line="288" w:lineRule="auto"/>
        <w:ind w:left="0"/>
        <w:jc w:val="left"/>
      </w:pPr>
      <w:r>
        <w:rPr>
          <w:rFonts w:eastAsia="等线" w:ascii="Arial" w:cs="Arial" w:hAnsi="Arial"/>
          <w:sz w:val="22"/>
        </w:rPr>
        <w:t>[superscript:3] 依据《声环境质量标准》（GB 3096-2008），规定2类声环境功能区昼间噪声限值≤60dB(A)、夜间≤50dB(A)，夜间突发噪声最大声级超过限值的幅度不得高于15dB(A)。</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2067698">
    <w:lvl>
      <w:start w:val="1"/>
      <w:numFmt w:val="decimal"/>
      <w:suff w:val="tab"/>
      <w:lvlText w:val="%1."/>
      <w:rPr>
        <w:color w:val="3370ff"/>
      </w:rPr>
    </w:lvl>
  </w:abstractNum>
  <w:abstractNum w:abstractNumId="22067699">
    <w:lvl>
      <w:start w:val="2"/>
      <w:numFmt w:val="decimal"/>
      <w:suff w:val="tab"/>
      <w:lvlText w:val="%1."/>
      <w:rPr>
        <w:color w:val="3370ff"/>
      </w:rPr>
    </w:lvl>
  </w:abstractNum>
  <w:abstractNum w:abstractNumId="22067700">
    <w:lvl>
      <w:start w:val="3"/>
      <w:numFmt w:val="decimal"/>
      <w:suff w:val="tab"/>
      <w:lvlText w:val="%1."/>
      <w:rPr>
        <w:color w:val="3370ff"/>
      </w:rPr>
    </w:lvl>
  </w:abstractNum>
  <w:abstractNum w:abstractNumId="22067701">
    <w:lvl>
      <w:start w:val="4"/>
      <w:numFmt w:val="decimal"/>
      <w:suff w:val="tab"/>
      <w:lvlText w:val="%1."/>
      <w:rPr>
        <w:color w:val="3370ff"/>
      </w:rPr>
    </w:lvl>
  </w:abstractNum>
  <w:abstractNum w:abstractNumId="22067702">
    <w:lvl>
      <w:start w:val="5"/>
      <w:numFmt w:val="decimal"/>
      <w:suff w:val="tab"/>
      <w:lvlText w:val="%1."/>
      <w:rPr>
        <w:color w:val="3370ff"/>
      </w:rPr>
    </w:lvl>
  </w:abstractNum>
  <w:abstractNum w:abstractNumId="22067703">
    <w:lvl>
      <w:start w:val="1"/>
      <w:numFmt w:val="decimal"/>
      <w:suff w:val="tab"/>
      <w:lvlText w:val="%1."/>
      <w:rPr>
        <w:color w:val="3370ff"/>
      </w:rPr>
    </w:lvl>
  </w:abstractNum>
  <w:abstractNum w:abstractNumId="22067704">
    <w:lvl>
      <w:start w:val="2"/>
      <w:numFmt w:val="decimal"/>
      <w:suff w:val="tab"/>
      <w:lvlText w:val="%1."/>
      <w:rPr>
        <w:color w:val="3370ff"/>
      </w:rPr>
    </w:lvl>
  </w:abstractNum>
  <w:abstractNum w:abstractNumId="22067705">
    <w:lvl>
      <w:start w:val="3"/>
      <w:numFmt w:val="decimal"/>
      <w:suff w:val="tab"/>
      <w:lvlText w:val="%1."/>
      <w:rPr>
        <w:color w:val="3370ff"/>
      </w:rPr>
    </w:lvl>
  </w:abstractNum>
  <w:abstractNum w:abstractNumId="22067706">
    <w:lvl>
      <w:start w:val="4"/>
      <w:numFmt w:val="decimal"/>
      <w:suff w:val="tab"/>
      <w:lvlText w:val="%1."/>
      <w:rPr>
        <w:color w:val="3370ff"/>
      </w:rPr>
    </w:lvl>
  </w:abstractNum>
  <w:abstractNum w:abstractNumId="22067707">
    <w:lvl>
      <w:start w:val="5"/>
      <w:numFmt w:val="decimal"/>
      <w:suff w:val="tab"/>
      <w:lvlText w:val="%1."/>
      <w:rPr>
        <w:color w:val="3370ff"/>
      </w:rPr>
    </w:lvl>
  </w:abstractNum>
  <w:abstractNum w:abstractNumId="22067708">
    <w:lvl>
      <w:start w:val="6"/>
      <w:numFmt w:val="decimal"/>
      <w:suff w:val="tab"/>
      <w:lvlText w:val="%1."/>
      <w:rPr>
        <w:color w:val="3370ff"/>
      </w:rPr>
    </w:lvl>
  </w:abstractNum>
  <w:abstractNum w:abstractNumId="22067709">
    <w:lvl>
      <w:start w:val="1"/>
      <w:numFmt w:val="decimal"/>
      <w:suff w:val="tab"/>
      <w:lvlText w:val="%1."/>
      <w:rPr>
        <w:color w:val="3370ff"/>
      </w:rPr>
    </w:lvl>
  </w:abstractNum>
  <w:abstractNum w:abstractNumId="22067710">
    <w:lvl>
      <w:start w:val="2"/>
      <w:numFmt w:val="decimal"/>
      <w:suff w:val="tab"/>
      <w:lvlText w:val="%1."/>
      <w:rPr>
        <w:color w:val="3370ff"/>
      </w:rPr>
    </w:lvl>
  </w:abstractNum>
  <w:abstractNum w:abstractNumId="22067711">
    <w:lvl>
      <w:start w:val="3"/>
      <w:numFmt w:val="decimal"/>
      <w:suff w:val="tab"/>
      <w:lvlText w:val="%1."/>
      <w:rPr>
        <w:color w:val="3370ff"/>
      </w:rPr>
    </w:lvl>
  </w:abstractNum>
  <w:abstractNum w:abstractNumId="22067712">
    <w:lvl>
      <w:start w:val="4"/>
      <w:numFmt w:val="decimal"/>
      <w:suff w:val="tab"/>
      <w:lvlText w:val="%1."/>
      <w:rPr>
        <w:color w:val="3370ff"/>
      </w:rPr>
    </w:lvl>
  </w:abstractNum>
  <w:abstractNum w:abstractNumId="22067713">
    <w:lvl>
      <w:start w:val="1"/>
      <w:numFmt w:val="decimal"/>
      <w:suff w:val="tab"/>
      <w:lvlText w:val="%1."/>
      <w:rPr>
        <w:color w:val="3370ff"/>
      </w:rPr>
    </w:lvl>
  </w:abstractNum>
  <w:abstractNum w:abstractNumId="22067714">
    <w:lvl>
      <w:start w:val="2"/>
      <w:numFmt w:val="decimal"/>
      <w:suff w:val="tab"/>
      <w:lvlText w:val="%1."/>
      <w:rPr>
        <w:color w:val="3370ff"/>
      </w:rPr>
    </w:lvl>
  </w:abstractNum>
  <w:abstractNum w:abstractNumId="22067715">
    <w:lvl>
      <w:start w:val="3"/>
      <w:numFmt w:val="decimal"/>
      <w:suff w:val="tab"/>
      <w:lvlText w:val="%1."/>
      <w:rPr>
        <w:color w:val="3370ff"/>
      </w:rPr>
    </w:lvl>
  </w:abstractNum>
  <w:abstractNum w:abstractNumId="22067716">
    <w:lvl>
      <w:start w:val="4"/>
      <w:numFmt w:val="decimal"/>
      <w:suff w:val="tab"/>
      <w:lvlText w:val="%1."/>
      <w:rPr>
        <w:color w:val="3370ff"/>
      </w:rPr>
    </w:lvl>
  </w:abstractNum>
  <w:abstractNum w:abstractNumId="22067717">
    <w:lvl>
      <w:start w:val="1"/>
      <w:numFmt w:val="decimal"/>
      <w:suff w:val="tab"/>
      <w:lvlText w:val="%1."/>
      <w:rPr>
        <w:color w:val="3370ff"/>
      </w:rPr>
    </w:lvl>
  </w:abstractNum>
  <w:abstractNum w:abstractNumId="22067718">
    <w:lvl>
      <w:start w:val="2"/>
      <w:numFmt w:val="decimal"/>
      <w:suff w:val="tab"/>
      <w:lvlText w:val="%1."/>
      <w:rPr>
        <w:color w:val="3370ff"/>
      </w:rPr>
    </w:lvl>
  </w:abstractNum>
  <w:abstractNum w:abstractNumId="22067719">
    <w:lvl>
      <w:start w:val="3"/>
      <w:numFmt w:val="decimal"/>
      <w:suff w:val="tab"/>
      <w:lvlText w:val="%1."/>
      <w:rPr>
        <w:color w:val="3370ff"/>
      </w:rPr>
    </w:lvl>
  </w:abstractNum>
  <w:abstractNum w:abstractNumId="22067720">
    <w:lvl>
      <w:start w:val="4"/>
      <w:numFmt w:val="decimal"/>
      <w:suff w:val="tab"/>
      <w:lvlText w:val="%1."/>
      <w:rPr>
        <w:color w:val="3370ff"/>
      </w:rPr>
    </w:lvl>
  </w:abstractNum>
  <w:abstractNum w:abstractNumId="22067721">
    <w:lvl>
      <w:start w:val="1"/>
      <w:numFmt w:val="decimal"/>
      <w:suff w:val="tab"/>
      <w:lvlText w:val="%1."/>
      <w:rPr>
        <w:color w:val="3370ff"/>
      </w:rPr>
    </w:lvl>
  </w:abstractNum>
  <w:abstractNum w:abstractNumId="22067722">
    <w:lvl>
      <w:start w:val="2"/>
      <w:numFmt w:val="decimal"/>
      <w:suff w:val="tab"/>
      <w:lvlText w:val="%1."/>
      <w:rPr>
        <w:color w:val="3370ff"/>
      </w:rPr>
    </w:lvl>
  </w:abstractNum>
  <w:abstractNum w:abstractNumId="22067723">
    <w:lvl>
      <w:start w:val="3"/>
      <w:numFmt w:val="decimal"/>
      <w:suff w:val="tab"/>
      <w:lvlText w:val="%1."/>
      <w:rPr>
        <w:color w:val="3370ff"/>
      </w:rPr>
    </w:lvl>
  </w:abstractNum>
  <w:abstractNum w:abstractNumId="22067724">
    <w:lvl>
      <w:start w:val="4"/>
      <w:numFmt w:val="decimal"/>
      <w:suff w:val="tab"/>
      <w:lvlText w:val="%1."/>
      <w:rPr>
        <w:color w:val="3370ff"/>
      </w:rPr>
    </w:lvl>
  </w:abstractNum>
  <w:abstractNum w:abstractNumId="22067725">
    <w:lvl>
      <w:start w:val="1"/>
      <w:numFmt w:val="decimal"/>
      <w:suff w:val="tab"/>
      <w:lvlText w:val="%1."/>
      <w:rPr>
        <w:color w:val="3370ff"/>
      </w:rPr>
    </w:lvl>
  </w:abstractNum>
  <w:abstractNum w:abstractNumId="22067726">
    <w:lvl>
      <w:start w:val="2"/>
      <w:numFmt w:val="decimal"/>
      <w:suff w:val="tab"/>
      <w:lvlText w:val="%1."/>
      <w:rPr>
        <w:color w:val="3370ff"/>
      </w:rPr>
    </w:lvl>
  </w:abstractNum>
  <w:abstractNum w:abstractNumId="22067727">
    <w:lvl>
      <w:start w:val="3"/>
      <w:numFmt w:val="decimal"/>
      <w:suff w:val="tab"/>
      <w:lvlText w:val="%1."/>
      <w:rPr>
        <w:color w:val="3370ff"/>
      </w:rPr>
    </w:lvl>
  </w:abstractNum>
  <w:abstractNum w:abstractNumId="22067728">
    <w:lvl>
      <w:start w:val="4"/>
      <w:numFmt w:val="decimal"/>
      <w:suff w:val="tab"/>
      <w:lvlText w:val="%1."/>
      <w:rPr>
        <w:color w:val="3370ff"/>
      </w:rPr>
    </w:lvl>
  </w:abstractNum>
  <w:num w:numId="1">
    <w:abstractNumId w:val="22067698"/>
  </w:num>
  <w:num w:numId="2">
    <w:abstractNumId w:val="22067699"/>
  </w:num>
  <w:num w:numId="3">
    <w:abstractNumId w:val="22067700"/>
  </w:num>
  <w:num w:numId="4">
    <w:abstractNumId w:val="22067701"/>
  </w:num>
  <w:num w:numId="5">
    <w:abstractNumId w:val="22067702"/>
  </w:num>
  <w:num w:numId="6">
    <w:abstractNumId w:val="22067703"/>
  </w:num>
  <w:num w:numId="7">
    <w:abstractNumId w:val="22067704"/>
  </w:num>
  <w:num w:numId="8">
    <w:abstractNumId w:val="22067705"/>
  </w:num>
  <w:num w:numId="9">
    <w:abstractNumId w:val="22067706"/>
  </w:num>
  <w:num w:numId="10">
    <w:abstractNumId w:val="22067707"/>
  </w:num>
  <w:num w:numId="11">
    <w:abstractNumId w:val="22067708"/>
  </w:num>
  <w:num w:numId="12">
    <w:abstractNumId w:val="22067709"/>
  </w:num>
  <w:num w:numId="13">
    <w:abstractNumId w:val="22067710"/>
  </w:num>
  <w:num w:numId="14">
    <w:abstractNumId w:val="22067711"/>
  </w:num>
  <w:num w:numId="15">
    <w:abstractNumId w:val="22067712"/>
  </w:num>
  <w:num w:numId="16">
    <w:abstractNumId w:val="22067713"/>
  </w:num>
  <w:num w:numId="17">
    <w:abstractNumId w:val="22067714"/>
  </w:num>
  <w:num w:numId="18">
    <w:abstractNumId w:val="22067715"/>
  </w:num>
  <w:num w:numId="19">
    <w:abstractNumId w:val="22067716"/>
  </w:num>
  <w:num w:numId="20">
    <w:abstractNumId w:val="22067717"/>
  </w:num>
  <w:num w:numId="21">
    <w:abstractNumId w:val="22067718"/>
  </w:num>
  <w:num w:numId="22">
    <w:abstractNumId w:val="22067719"/>
  </w:num>
  <w:num w:numId="23">
    <w:abstractNumId w:val="22067720"/>
  </w:num>
  <w:num w:numId="24">
    <w:abstractNumId w:val="22067721"/>
  </w:num>
  <w:num w:numId="25">
    <w:abstractNumId w:val="22067722"/>
  </w:num>
  <w:num w:numId="26">
    <w:abstractNumId w:val="22067723"/>
  </w:num>
  <w:num w:numId="27">
    <w:abstractNumId w:val="22067724"/>
  </w:num>
  <w:num w:numId="28">
    <w:abstractNumId w:val="22067725"/>
  </w:num>
  <w:num w:numId="29">
    <w:abstractNumId w:val="22067726"/>
  </w:num>
  <w:num w:numId="30">
    <w:abstractNumId w:val="22067727"/>
  </w:num>
  <w:num w:numId="31">
    <w:abstractNumId w:val="22067728"/>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2026-03-28T10:39:54Z</dcterms:created>
  <dc:creator>Apache POI</dc:creator>
</cp:coreProperties>
</file>