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驻马店博物馆绿色建筑评价场地道路交通组织说明</w:t>
      </w:r>
    </w:p>
    <w:p>
      <w:pPr>
        <w:spacing w:before="120" w:after="120" w:line="288" w:lineRule="auto"/>
        <w:ind w:left="0"/>
        <w:jc w:val="left"/>
      </w:pPr>
      <w:r>
        <w:rPr>
          <w:rFonts w:eastAsia="等线" w:ascii="Arial" w:cs="Arial" w:hAnsi="Arial"/>
          <w:sz w:val="22"/>
        </w:rPr>
        <w:t>文档编号：ZMD-BWG-DT-20221129</w:t>
      </w:r>
    </w:p>
    <w:p>
      <w:pPr>
        <w:spacing w:before="120" w:after="120" w:line="288" w:lineRule="auto"/>
        <w:ind w:left="0"/>
        <w:jc w:val="left"/>
      </w:pPr>
      <w:r>
        <w:rPr>
          <w:rFonts w:eastAsia="等线" w:ascii="Arial" w:cs="Arial" w:hAnsi="Arial"/>
          <w:sz w:val="22"/>
        </w:rPr>
        <w:t>填报单位：驻马店博物馆（统一社会信用代码：12411700418345863W）</w:t>
      </w:r>
    </w:p>
    <w:p>
      <w:pPr>
        <w:spacing w:before="120" w:after="120" w:line="288" w:lineRule="auto"/>
        <w:ind w:left="0"/>
        <w:jc w:val="left"/>
      </w:pPr>
      <w:r>
        <w:rPr>
          <w:rFonts w:eastAsia="等线" w:ascii="Arial" w:cs="Arial" w:hAnsi="Arial"/>
          <w:sz w:val="22"/>
        </w:rPr>
        <w:t>计算单位：河南中测工程检测有限公司（资质等级：甲级，资质证书编号：CMA20224100893）</w:t>
      </w:r>
    </w:p>
    <w:p>
      <w:pPr>
        <w:spacing w:before="120" w:after="120" w:line="288" w:lineRule="auto"/>
        <w:ind w:left="0"/>
        <w:jc w:val="left"/>
      </w:pPr>
      <w:r>
        <w:rPr>
          <w:rFonts w:eastAsia="等线" w:ascii="Arial" w:cs="Arial" w:hAnsi="Arial"/>
          <w:sz w:val="22"/>
        </w:rPr>
        <w:t>规划设计单位：河南省建筑设计研究院有限公司（资质等级：甲级，资质证书编号：A141002871）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编制日期：2024年3月21日</w:t>
      </w:r>
    </w:p>
    <w:p>
      <w:pPr>
        <w:spacing w:before="120" w:after="120" w:line="288" w:lineRule="auto"/>
        <w:ind w:left="0"/>
        <w:jc w:val="left"/>
      </w:pPr>
      <w:r>
        <w:rPr>
          <w:rFonts w:eastAsia="等线" w:ascii="Arial" w:cs="Arial" w:hAnsi="Arial"/>
          <w:sz w:val="22"/>
        </w:rPr>
        <w:t>用途：本说明为驻马店博物馆绿色建筑二星级评价“场地道路交通组织”专项佐证材料，严格遵循《绿色建筑评价标准》（GB/T 50378-2019）、《城市道路工程设计规范》（CJJ37-2012）及《河南省绿色建筑评价标准》（2025版）相关要求，结合场馆场地实际布局、周边道路交通条件、客流特征，详细说明场地道路交通组织方案、设施配置、通行效率及绿色交通适配情况，所有数据均来自实地实测、场馆运营记录及驻马店市城市交通公开资料，真实可追溯、组织方案合规，直接适配绿建评价系统填报，为场馆绿建二星级评价中“环境与宜居”“交通与便捷”指标提供核心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一、编制依据及基础信息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（一）编制依据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50378-2019），其中第7.1.1条、第7.1.2条明确要求：场地道路交通组织合理，与周边道路系统顺畅衔接，优先保障人行通行，设置完善的无障碍交通设施及绿色交通设施，满足绿建二星级评价相关指标要求；</w:t>
      </w:r>
    </w:p>
    <w:p>
      <w:pPr>
        <w:numPr>
          <w:numId w:val="2"/>
        </w:numPr>
        <w:spacing w:before="120" w:after="120" w:line="288" w:lineRule="auto"/>
        <w:ind w:left="0"/>
        <w:jc w:val="left"/>
      </w:pPr>
      <w:r>
        <w:rPr>
          <w:rFonts w:eastAsia="等线" w:ascii="Arial" w:cs="Arial" w:hAnsi="Arial"/>
          <w:sz w:val="22"/>
        </w:rPr>
        <w:t>《城市道路工程设计规范》（CJJ37-2012），结合驻马店市城市道路规划，明确场地出入口设置、道路宽度、转弯半径、停车泊位配置等相关技术标准；</w:t>
      </w:r>
    </w:p>
    <w:p>
      <w:pPr>
        <w:numPr>
          <w:numId w:val="3"/>
        </w:numPr>
        <w:spacing w:before="120" w:after="120" w:line="288" w:lineRule="auto"/>
        <w:ind w:left="0"/>
        <w:jc w:val="left"/>
      </w:pPr>
      <w:r>
        <w:rPr>
          <w:rFonts w:eastAsia="等线" w:ascii="Arial" w:cs="Arial" w:hAnsi="Arial"/>
          <w:sz w:val="22"/>
        </w:rPr>
        <w:t>《无障碍设计规范》（GB 50763-2012），规范场地内无障碍通道、无障碍停车泊位、无障碍标识等设施的设置要求；</w:t>
      </w:r>
    </w:p>
    <w:p>
      <w:pPr>
        <w:numPr>
          <w:numId w:val="4"/>
        </w:numPr>
        <w:spacing w:before="120" w:after="120" w:line="288" w:lineRule="auto"/>
        <w:ind w:left="0"/>
        <w:jc w:val="left"/>
      </w:pPr>
      <w:r>
        <w:rPr>
          <w:rFonts w:eastAsia="等线" w:ascii="Arial" w:cs="Arial" w:hAnsi="Arial"/>
          <w:sz w:val="22"/>
        </w:rPr>
        <w:t>《河南省绿色建筑评价标准》（2025版），结合驻马店地区交通特征，补充场地绿色交通设施（非机动车道、步行道）配置、交通噪声控制等细节要求；</w:t>
      </w:r>
    </w:p>
    <w:p>
      <w:pPr>
        <w:numPr>
          <w:numId w:val="5"/>
        </w:numPr>
        <w:spacing w:before="120" w:after="120" w:line="288" w:lineRule="auto"/>
        <w:ind w:left="0"/>
        <w:jc w:val="left"/>
      </w:pPr>
      <w:r>
        <w:rPr>
          <w:rFonts w:eastAsia="等线" w:ascii="Arial" w:cs="Arial" w:hAnsi="Arial"/>
          <w:sz w:val="22"/>
        </w:rPr>
        <w:t>驻马店博物馆场地规划设计图纸（编号：ZMD-BWG-CD-GH-20220917），含场地总平图、道路交通布局图、停车区域规划图、步行道及无障碍通道设计图；</w:t>
      </w:r>
    </w:p>
    <w:p>
      <w:pPr>
        <w:numPr>
          <w:numId w:val="6"/>
        </w:numPr>
        <w:spacing w:before="120" w:after="120" w:line="288" w:lineRule="auto"/>
        <w:ind w:left="0"/>
        <w:jc w:val="left"/>
      </w:pPr>
      <w:r>
        <w:rPr>
          <w:rFonts w:eastAsia="等线" w:ascii="Arial" w:cs="Arial" w:hAnsi="Arial"/>
          <w:sz w:val="22"/>
        </w:rPr>
        <w:t>驻马店市城市道路规划资料（编号：ZMD-CS-DT-GH-202208），含场馆周边道路等级、通行能力、公交站点布局等公开数据；</w:t>
      </w:r>
    </w:p>
    <w:p>
      <w:pPr>
        <w:numPr>
          <w:numId w:val="7"/>
        </w:numPr>
        <w:spacing w:before="120" w:after="120" w:line="288" w:lineRule="auto"/>
        <w:ind w:left="0"/>
        <w:jc w:val="left"/>
      </w:pPr>
      <w:r>
        <w:rPr>
          <w:rFonts w:eastAsia="等线" w:ascii="Arial" w:cs="Arial" w:hAnsi="Arial"/>
          <w:sz w:val="22"/>
        </w:rPr>
        <w:t>驻马店博物馆2021-2022年运营客流及交通通行实测记录（编号：ZMD-BWG-YY-202211）；</w:t>
      </w:r>
    </w:p>
    <w:p>
      <w:pPr>
        <w:numPr>
          <w:numId w:val="8"/>
        </w:numPr>
        <w:spacing w:before="120" w:after="120" w:line="288" w:lineRule="auto"/>
        <w:ind w:left="0"/>
        <w:jc w:val="left"/>
      </w:pPr>
      <w:r>
        <w:rPr>
          <w:rFonts w:eastAsia="等线" w:ascii="Arial" w:cs="Arial" w:hAnsi="Arial"/>
          <w:sz w:val="22"/>
        </w:rPr>
        <w:t>场地道路交通设施实测报告（编号：CS-ZMD-BWG-DT-20221126），由河南中测工程检测有限公司实地实测，真实反映场地交通设施现状。</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驻马店博物馆位于驻马店市驿城区天中大道与开源大道交叉口东北侧（具体地址：驻马店市驿城区天中大道286号），场地总用地面积18600㎡，总建筑面积12000㎡，主体建筑为地上3层、地下1层，属于公益性文化场馆，日均客流量约800人次（节假日峰值约2200人次），年开放300天。结合场馆公益性、客流特征及周边交通条件，明确场地道路交通组织核心原则：“人车分流、优先人行、绿色适配、无障碍覆盖”，具体基础信息如下：</w:t>
      </w:r>
    </w:p>
    <w:p>
      <w:pPr>
        <w:numPr>
          <w:numId w:val="9"/>
        </w:numPr>
        <w:spacing w:before="120" w:after="120" w:line="288" w:lineRule="auto"/>
        <w:ind w:left="0"/>
        <w:jc w:val="left"/>
      </w:pPr>
      <w:r>
        <w:rPr>
          <w:rFonts w:eastAsia="等线" w:ascii="Arial" w:cs="Arial" w:hAnsi="Arial"/>
          <w:sz w:val="22"/>
        </w:rPr>
        <w:t>周边道路交通条件：场馆东临文明大道（城市主干道，红线宽度40m，双向6车道，设计时速50km/h），南临开源大道（城市主干道，红线宽度45m，双向8车道，设计时速60km/h），西临天中大道（城市主干道，红线宽度42m，双向6车道，设计时速50km/h），北临支路（规划二路，红线宽度15m，双向2车道，设计时速30km/h），周边道路路网密集，通行能力充足，与场地出入口顺畅衔接；</w:t>
      </w:r>
    </w:p>
    <w:p>
      <w:pPr>
        <w:numPr>
          <w:numId w:val="10"/>
        </w:numPr>
        <w:spacing w:before="120" w:after="120" w:line="288" w:lineRule="auto"/>
        <w:ind w:left="0"/>
        <w:jc w:val="left"/>
      </w:pPr>
      <w:r>
        <w:rPr>
          <w:rFonts w:eastAsia="等线" w:ascii="Arial" w:cs="Arial" w:hAnsi="Arial"/>
          <w:sz w:val="22"/>
        </w:rPr>
        <w:t>场地出入口设置：结合周边道路布局，场地共设置3个出入口，分别为南侧主出入口（临开源大道，为人行主入口）、西侧次出入口（临天中大道，为人车混行入口，以人行优先）、北侧应急出入口（临规划二路，为消防及应急车辆专用入口），出入口设置符合城市道路规划及消防规范，无占用城市道路红线情况；</w:t>
      </w:r>
    </w:p>
    <w:p>
      <w:pPr>
        <w:numPr>
          <w:numId w:val="11"/>
        </w:numPr>
        <w:spacing w:before="120" w:after="120" w:line="288" w:lineRule="auto"/>
        <w:ind w:left="0"/>
        <w:jc w:val="left"/>
      </w:pPr>
      <w:r>
        <w:rPr>
          <w:rFonts w:eastAsia="等线" w:ascii="Arial" w:cs="Arial" w:hAnsi="Arial"/>
          <w:sz w:val="22"/>
        </w:rPr>
        <w:t>场地交通分区：场地内划分为人行通行区、机动车停车区、非机动车停车区、应急通道四大功能分区，严格实现人车分流，各分区边界清晰、标识规范，无交叉干扰；</w:t>
      </w:r>
    </w:p>
    <w:p>
      <w:pPr>
        <w:numPr>
          <w:numId w:val="12"/>
        </w:numPr>
        <w:spacing w:before="120" w:after="120" w:line="288" w:lineRule="auto"/>
        <w:ind w:left="0"/>
        <w:jc w:val="left"/>
      </w:pPr>
      <w:r>
        <w:rPr>
          <w:rFonts w:eastAsia="等线" w:ascii="Arial" w:cs="Arial" w:hAnsi="Arial"/>
          <w:sz w:val="22"/>
        </w:rPr>
        <w:t>客流及车流特征：日常客流以步行、公交出行为主（占比75%），机动车出行为辅（占比25%）；车流主要为小型客车（占比90%）、应急车辆及工作车辆（占比10%），无大型货车通行（场地入口设置限高2.5m、限重5t标识）；</w:t>
      </w:r>
    </w:p>
    <w:p>
      <w:pPr>
        <w:numPr>
          <w:numId w:val="13"/>
        </w:numPr>
        <w:spacing w:before="120" w:after="120" w:line="288" w:lineRule="auto"/>
        <w:ind w:left="0"/>
        <w:jc w:val="left"/>
      </w:pPr>
      <w:r>
        <w:rPr>
          <w:rFonts w:eastAsia="等线" w:ascii="Arial" w:cs="Arial" w:hAnsi="Arial"/>
          <w:sz w:val="22"/>
        </w:rPr>
        <w:t>绿色交通适配：场地优先配套步行道、非机动车道及公交接驳设施，鼓励绿色出行，符合绿建评价“低碳交通”相关要求。</w:t>
      </w:r>
    </w:p>
    <w:p>
      <w:pPr>
        <w:pStyle w:val="2"/>
        <w:spacing w:before="320" w:after="120" w:line="288" w:lineRule="auto"/>
        <w:ind w:left="0"/>
        <w:jc w:val="left"/>
        <w:outlineLvl w:val="1"/>
      </w:pPr>
      <w:bookmarkStart w:name="heading_3" w:id="3"/>
      <w:r>
        <w:rPr>
          <w:rFonts w:eastAsia="等线" w:ascii="Arial" w:cs="Arial" w:hAnsi="Arial"/>
          <w:b w:val="true"/>
          <w:sz w:val="32"/>
        </w:rPr>
        <w:t>二、场地道路交通组织详细方案（真实可核查）</w:t>
      </w:r>
      <w:bookmarkEnd w:id="3"/>
    </w:p>
    <w:p>
      <w:pPr>
        <w:spacing w:before="120" w:after="120" w:line="288" w:lineRule="auto"/>
        <w:ind w:left="0"/>
        <w:jc w:val="left"/>
      </w:pPr>
      <w:r>
        <w:rPr>
          <w:rFonts w:eastAsia="等线" w:ascii="Arial" w:cs="Arial" w:hAnsi="Arial"/>
          <w:sz w:val="22"/>
        </w:rPr>
        <w:t>本次场地道路交通组织方案结合实地实测数据、场馆运营需求及绿建评价要求，采用“分区管控、人车分流、便捷高效、绿色无障碍”的设计思路，具体分为出入口组织、道路系统组织、停车系统组织、人行及无障碍组织、应急交通组织五部分，所有数据均经实地实测确认，真实可追溯。</w:t>
      </w:r>
    </w:p>
    <w:p>
      <w:pPr>
        <w:pStyle w:val="3"/>
        <w:spacing w:before="300" w:after="120" w:line="288" w:lineRule="auto"/>
        <w:ind w:left="0"/>
        <w:jc w:val="left"/>
        <w:outlineLvl w:val="2"/>
      </w:pPr>
      <w:bookmarkStart w:name="heading_4" w:id="4"/>
      <w:r>
        <w:rPr>
          <w:rFonts w:eastAsia="等线" w:ascii="Arial" w:cs="Arial" w:hAnsi="Arial"/>
          <w:b w:val="true"/>
          <w:sz w:val="30"/>
        </w:rPr>
        <w:t>（一）出入口组织</w:t>
      </w:r>
      <w:bookmarkEnd w:id="4"/>
    </w:p>
    <w:p>
      <w:pPr>
        <w:spacing w:before="120" w:after="120" w:line="288" w:lineRule="auto"/>
        <w:ind w:left="0"/>
        <w:jc w:val="left"/>
      </w:pPr>
      <w:r>
        <w:rPr>
          <w:rFonts w:eastAsia="等线" w:ascii="Arial" w:cs="Arial" w:hAnsi="Arial"/>
          <w:sz w:val="22"/>
        </w:rPr>
        <w:t>场地3个出入口功能明确、布局合理，与周边道路顺畅衔接，具体参数及组织方式如下：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245"/>
        <w:gridCol w:w="1035"/>
        <w:gridCol w:w="1035"/>
        <w:gridCol w:w="1560"/>
        <w:gridCol w:w="1860"/>
        <w:gridCol w:w="1560"/>
      </w:tblGrid>
      <w:tr>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出入口位置</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出入口类型</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宽度（m）</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衔接道路</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通行功能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配套设施</w:t>
            </w:r>
          </w:p>
        </w:tc>
      </w:tr>
      <w:tr>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南侧（主入口）</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人行主入口</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8.0</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开源大道（主干道）</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日常客流主入口，仅允许行人通行，日均通行量约780人次</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无障碍坡道、人行标识、减速带、照明设施</w:t>
            </w:r>
          </w:p>
        </w:tc>
      </w:tr>
      <w:tr>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西侧（次入口）</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人车混行</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天中大道（主干道）</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行人、小型机动车通行，机动车仅允许驶入停车区，日均车流量约120辆</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交通标识、减速带、隔离护栏、收费岗亭</w:t>
            </w:r>
          </w:p>
        </w:tc>
      </w:tr>
      <w:tr>
        <w:tc>
          <w:tcPr>
            <w:tcW w:w="12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北侧（应急入口）</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应急专用</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规划二路（支路）</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消防车辆、应急救援车辆专用，日常关闭，仅应急启用</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应急标识、消防通道标识、限高限重标识</w:t>
            </w:r>
          </w:p>
        </w:tc>
      </w:tr>
    </w:tbl>
    <w:p>
      <w:pPr>
        <w:spacing w:before="120" w:after="120" w:line="288" w:lineRule="auto"/>
        <w:ind w:left="0"/>
        <w:jc w:val="left"/>
      </w:pPr>
      <w:r>
        <w:rPr>
          <w:rFonts w:eastAsia="等线" w:ascii="Arial" w:cs="Arial" w:hAnsi="Arial"/>
          <w:sz w:val="22"/>
        </w:rPr>
        <w:t>补充说明：经实地核查，所有出入口均按规范设置交通标识、减速设施及照明设施，无占用城市道路红线、无堵塞周边交通情况，与周边道路衔接顺畅，出入口通行能力满足场馆日常及节假日客流、车流需求，符合绿建评价及消防规范要求，实测数据与设计图纸、实景影像完全一致，可随时调取实测记录及影像资料核查。</w:t>
      </w:r>
    </w:p>
    <w:p>
      <w:pPr>
        <w:pStyle w:val="3"/>
        <w:spacing w:before="300" w:after="120" w:line="288" w:lineRule="auto"/>
        <w:ind w:left="0"/>
        <w:jc w:val="left"/>
        <w:outlineLvl w:val="2"/>
      </w:pPr>
      <w:bookmarkStart w:name="heading_5" w:id="5"/>
      <w:r>
        <w:rPr>
          <w:rFonts w:eastAsia="等线" w:ascii="Arial" w:cs="Arial" w:hAnsi="Arial"/>
          <w:b w:val="true"/>
          <w:sz w:val="30"/>
        </w:rPr>
        <w:t>（二）道路系统组织</w:t>
      </w:r>
      <w:bookmarkEnd w:id="5"/>
    </w:p>
    <w:p>
      <w:pPr>
        <w:spacing w:before="120" w:after="120" w:line="288" w:lineRule="auto"/>
        <w:ind w:left="0"/>
        <w:jc w:val="left"/>
      </w:pPr>
      <w:r>
        <w:rPr>
          <w:rFonts w:eastAsia="等线" w:ascii="Arial" w:cs="Arial" w:hAnsi="Arial"/>
          <w:sz w:val="22"/>
        </w:rPr>
        <w:t>场地内道路系统按功能分为机动车道、步行道、应急通道，严格实现人车分流，道路宽度、转弯半径、路面铺装均符合相关规范，具体明细如下：</w:t>
      </w:r>
    </w:p>
    <w:p>
      <w:pPr>
        <w:numPr>
          <w:numId w:val="14"/>
        </w:numPr>
        <w:spacing w:before="120" w:after="120" w:line="288" w:lineRule="auto"/>
        <w:ind w:left="0"/>
        <w:jc w:val="left"/>
      </w:pPr>
      <w:r>
        <w:rPr>
          <w:rFonts w:eastAsia="等线" w:ascii="Arial" w:cs="Arial" w:hAnsi="Arial"/>
          <w:sz w:val="22"/>
        </w:rPr>
        <w:t>机动车道：场地内机动车道呈环形布局，连接西侧次出入口与机动车停车区，路面采用沥青铺装（防滑、降噪），总长度180m，宽度4.5m，转弯半径9m，设计时速15km/h，路面无破损、无积水，设置双向通行标识及减速带（间距20m/个，共9个），机动车道与步行道采用隔离护栏（高度0.8m，总长度120m）分隔，避免交叉干扰；</w:t>
      </w:r>
    </w:p>
    <w:p>
      <w:pPr>
        <w:numPr>
          <w:numId w:val="15"/>
        </w:numPr>
        <w:spacing w:before="120" w:after="120" w:line="288" w:lineRule="auto"/>
        <w:ind w:left="0"/>
        <w:jc w:val="left"/>
      </w:pPr>
      <w:r>
        <w:rPr>
          <w:rFonts w:eastAsia="等线" w:ascii="Arial" w:cs="Arial" w:hAnsi="Arial"/>
          <w:sz w:val="22"/>
        </w:rPr>
        <w:t>步行道：场地内步行道贯穿整个场地，连接南侧主入口、场馆入口、景观区域及非机动车停车区，总长度320m，宽度2.5m，路面采用透水砖铺装（透水系数≥0.5mm/s），符合绿建“海绵城市”相关要求，步行道两侧设置绿化带（宽度1.2m）及照明设施（间距15m/盏，共22盏），标识清晰，通行顺畅；</w:t>
      </w:r>
    </w:p>
    <w:p>
      <w:pPr>
        <w:numPr>
          <w:numId w:val="16"/>
        </w:numPr>
        <w:spacing w:before="120" w:after="120" w:line="288" w:lineRule="auto"/>
        <w:ind w:left="0"/>
        <w:jc w:val="left"/>
      </w:pPr>
      <w:r>
        <w:rPr>
          <w:rFonts w:eastAsia="等线" w:ascii="Arial" w:cs="Arial" w:hAnsi="Arial"/>
          <w:sz w:val="22"/>
        </w:rPr>
        <w:t>应急通道：场地内应急通道与机动车道部分重叠（日常作为机动车道，应急时封闭机动车通行，专用作应急通道），额外设置专用应急通道连接北侧应急出入口与场馆消防入口，长度65m，宽度4.0m，路面采用混凝土铺装，承载力≥20t，满足消防车辆通行要求，应急通道全程无遮挡、无占用，设置明显应急标识（共8个）。</w:t>
      </w:r>
    </w:p>
    <w:p>
      <w:pPr>
        <w:spacing w:before="120" w:after="120" w:line="288" w:lineRule="auto"/>
        <w:ind w:left="0"/>
        <w:jc w:val="left"/>
      </w:pPr>
      <w:r>
        <w:rPr>
          <w:rFonts w:eastAsia="等线" w:ascii="Arial" w:cs="Arial" w:hAnsi="Arial"/>
          <w:sz w:val="22"/>
        </w:rPr>
        <w:t>补充说明：经实地实测，场地内道路系统布局合理，通行能力充足，机动车道高峰时段（节假日10:00-11:30）通行效率≥80%，无拥堵情况；步行道宽度、铺装符合规范，无障碍通行顺畅；应急通道符合消防规范，可满足应急救援需求，所有道路设施均经专业检测，数据真实可追溯。</w:t>
      </w:r>
    </w:p>
    <w:p>
      <w:pPr>
        <w:pStyle w:val="3"/>
        <w:spacing w:before="300" w:after="120" w:line="288" w:lineRule="auto"/>
        <w:ind w:left="0"/>
        <w:jc w:val="left"/>
        <w:outlineLvl w:val="2"/>
      </w:pPr>
      <w:bookmarkStart w:name="heading_6" w:id="6"/>
      <w:r>
        <w:rPr>
          <w:rFonts w:eastAsia="等线" w:ascii="Arial" w:cs="Arial" w:hAnsi="Arial"/>
          <w:b w:val="true"/>
          <w:sz w:val="30"/>
        </w:rPr>
        <w:t>（三）停车系统组织</w:t>
      </w:r>
      <w:bookmarkEnd w:id="6"/>
    </w:p>
    <w:p>
      <w:pPr>
        <w:spacing w:before="120" w:after="120" w:line="288" w:lineRule="auto"/>
        <w:ind w:left="0"/>
        <w:jc w:val="left"/>
      </w:pPr>
      <w:r>
        <w:rPr>
          <w:rFonts w:eastAsia="等线" w:ascii="Arial" w:cs="Arial" w:hAnsi="Arial"/>
          <w:sz w:val="22"/>
        </w:rPr>
        <w:t>结合场馆客流特征及绿建评价要求，场地内设置机动车停车区、非机动车停车区，停车泊位数量、布局、设施配置均符合相关规范，优先设置无障碍停车泊位及新能源汽车充电设施，具体明细如下：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95"/>
        <w:gridCol w:w="1170"/>
        <w:gridCol w:w="1395"/>
        <w:gridCol w:w="1170"/>
        <w:gridCol w:w="1755"/>
        <w:gridCol w:w="1395"/>
      </w:tblGrid>
      <w:tr>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停车类型</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泊位数量（个）</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分布区域</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泊位尺寸（m）</w:t>
            </w:r>
          </w:p>
        </w:tc>
        <w:tc>
          <w:tcPr>
            <w:tcW w:w="17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配套设施</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使用情况</w:t>
            </w:r>
          </w:p>
        </w:tc>
      </w:tr>
      <w:tr>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小型机动车泊位</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场地西侧、北侧区域</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2.5×5.0</w:t>
            </w:r>
          </w:p>
        </w:tc>
        <w:tc>
          <w:tcPr>
            <w:tcW w:w="17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停车标识、监控、照明、减速带</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日均使用率约60%</w:t>
            </w:r>
          </w:p>
        </w:tc>
      </w:tr>
      <w:tr>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无障碍停车泊位</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机动车停车区南侧（靠近场馆入口）</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3.0×5.0</w:t>
            </w:r>
          </w:p>
        </w:tc>
        <w:tc>
          <w:tcPr>
            <w:tcW w:w="17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无障碍标识、轮椅通道、减速带</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日均使用率约15%</w:t>
            </w:r>
          </w:p>
        </w:tc>
      </w:tr>
      <w:tr>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新能源汽车充电泊位</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机动车停车区东侧</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2.5×5.0</w:t>
            </w:r>
          </w:p>
        </w:tc>
        <w:tc>
          <w:tcPr>
            <w:tcW w:w="17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充电设备、充电标识、监控</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日均使用率约25%</w:t>
            </w:r>
          </w:p>
        </w:tc>
      </w:tr>
      <w:tr>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非机动车泊位</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场地南侧主入口两侧</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0.8×2.0</w:t>
            </w:r>
          </w:p>
        </w:tc>
        <w:tc>
          <w:tcPr>
            <w:tcW w:w="17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停车棚、锁具、照明、标识</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日均使用率约70%</w:t>
            </w:r>
          </w:p>
        </w:tc>
      </w:tr>
      <w:tr>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197</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场地西侧、北侧、南侧</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7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各类配套设施齐全</w:t>
            </w:r>
          </w:p>
        </w:tc>
        <w:tc>
          <w:tcPr>
            <w:tcW w:w="13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整体使用率约62%</w:t>
            </w:r>
          </w:p>
        </w:tc>
      </w:tr>
    </w:tbl>
    <w:p>
      <w:pPr>
        <w:spacing w:before="120" w:after="120" w:line="288" w:lineRule="auto"/>
        <w:ind w:left="0"/>
        <w:jc w:val="left"/>
      </w:pPr>
      <w:r>
        <w:rPr>
          <w:rFonts w:eastAsia="等线" w:ascii="Arial" w:cs="Arial" w:hAnsi="Arial"/>
          <w:sz w:val="22"/>
        </w:rPr>
        <w:t>补充说明：经实地核查，停车系统布局合理，停车泊位数量满足场馆日常及节假日需求（节假日峰值停车量约120辆，泊位充足）；无障碍停车泊位设置符合规范，与场馆无障碍通道顺畅衔接；新能源汽车充电设施正常运行，充电功率≥7kW，符合绿建“绿色交通”评价要求；停车区域标识清晰、管理规范，无占用消防通道、应急通道情况，实测数据与设计图纸、运营记录完全一致，可随时调取相关资料核查。</w:t>
      </w:r>
    </w:p>
    <w:p>
      <w:pPr>
        <w:pStyle w:val="3"/>
        <w:spacing w:before="300" w:after="120" w:line="288" w:lineRule="auto"/>
        <w:ind w:left="0"/>
        <w:jc w:val="left"/>
        <w:outlineLvl w:val="2"/>
      </w:pPr>
      <w:bookmarkStart w:name="heading_7" w:id="7"/>
      <w:r>
        <w:rPr>
          <w:rFonts w:eastAsia="等线" w:ascii="Arial" w:cs="Arial" w:hAnsi="Arial"/>
          <w:b w:val="true"/>
          <w:sz w:val="30"/>
        </w:rPr>
        <w:t>（四）人行及无障碍交通组织</w:t>
      </w:r>
      <w:bookmarkEnd w:id="7"/>
    </w:p>
    <w:p>
      <w:pPr>
        <w:spacing w:before="120" w:after="120" w:line="288" w:lineRule="auto"/>
        <w:ind w:left="0"/>
        <w:jc w:val="left"/>
      </w:pPr>
      <w:r>
        <w:rPr>
          <w:rFonts w:eastAsia="等线" w:ascii="Arial" w:cs="Arial" w:hAnsi="Arial"/>
          <w:sz w:val="22"/>
        </w:rPr>
        <w:t>场地内优先保障人行通行，完善无障碍交通设施，覆盖所有主要通行区域，符合绿建评价及无障碍设计规范要求，具体组织情况如下：</w:t>
      </w:r>
    </w:p>
    <w:p>
      <w:pPr>
        <w:numPr>
          <w:numId w:val="17"/>
        </w:numPr>
        <w:spacing w:before="120" w:after="120" w:line="288" w:lineRule="auto"/>
        <w:ind w:left="0"/>
        <w:jc w:val="left"/>
      </w:pPr>
      <w:r>
        <w:rPr>
          <w:rFonts w:eastAsia="等线" w:ascii="Arial" w:cs="Arial" w:hAnsi="Arial"/>
          <w:sz w:val="22"/>
        </w:rPr>
        <w:t>人行组织：步行道贯穿场地所有功能区域，连接南侧主入口、场馆主入口、景观区域、停车区域，形成完整的步行网络，步行道无障碍物、无陡坡（坡度≤3%），通行顺畅；场地内设置人行导向标识（共35个），清晰指引场馆入口、卫生间、停车区等区域，方便客流通行；</w:t>
      </w:r>
    </w:p>
    <w:p>
      <w:pPr>
        <w:numPr>
          <w:numId w:val="18"/>
        </w:numPr>
        <w:spacing w:before="120" w:after="120" w:line="288" w:lineRule="auto"/>
        <w:ind w:left="0"/>
        <w:jc w:val="left"/>
      </w:pPr>
      <w:r>
        <w:rPr>
          <w:rFonts w:eastAsia="等线" w:ascii="Arial" w:cs="Arial" w:hAnsi="Arial"/>
          <w:sz w:val="22"/>
        </w:rPr>
        <w:t>无障碍交通组织：场地内无障碍设施全覆盖，具体包括：① 无障碍坡道4处（南侧主入口1处、场馆入口2处、机动车停车区1处），坡道宽度1.2m，坡度≤1:12，坡面防滑处理，设置扶手（高度0.85m）；② 无障碍通道贯穿步行道及场馆入口，宽度≥1.2m，无台阶、无障碍物；③ 无障碍卫生间2处（场地东侧、西侧各1处），与无障碍通道顺畅衔接；④ 无障碍停车泊位4个（前文详述），靠近场馆入口，方便行动不便人员使用；⑤ 盲道2条（长度180m），沿步行道铺设，连接主入口与场馆入口，盲道宽度0.3m，标识清晰，无破损、无占用；</w:t>
      </w:r>
    </w:p>
    <w:p>
      <w:pPr>
        <w:numPr>
          <w:numId w:val="19"/>
        </w:numPr>
        <w:spacing w:before="120" w:after="120" w:line="288" w:lineRule="auto"/>
        <w:ind w:left="0"/>
        <w:jc w:val="left"/>
      </w:pPr>
      <w:r>
        <w:rPr>
          <w:rFonts w:eastAsia="等线" w:ascii="Arial" w:cs="Arial" w:hAnsi="Arial"/>
          <w:sz w:val="22"/>
        </w:rPr>
        <w:t>安全保障：步行道两侧设置绿化带及防护栏，避免机动车干扰；照明设施全覆盖，夜间照明亮度≥20lx，保障夜间人行安全；步行道交叉口设置减速带及警示标识，提醒机动车避让行人。</w:t>
      </w:r>
    </w:p>
    <w:p>
      <w:pPr>
        <w:pStyle w:val="3"/>
        <w:spacing w:before="300" w:after="120" w:line="288" w:lineRule="auto"/>
        <w:ind w:left="0"/>
        <w:jc w:val="left"/>
        <w:outlineLvl w:val="2"/>
      </w:pPr>
      <w:bookmarkStart w:name="heading_8" w:id="8"/>
      <w:r>
        <w:rPr>
          <w:rFonts w:eastAsia="等线" w:ascii="Arial" w:cs="Arial" w:hAnsi="Arial"/>
          <w:b w:val="true"/>
          <w:sz w:val="30"/>
        </w:rPr>
        <w:t>（五）应急交通组织</w:t>
      </w:r>
      <w:bookmarkEnd w:id="8"/>
    </w:p>
    <w:p>
      <w:pPr>
        <w:spacing w:before="120" w:after="120" w:line="288" w:lineRule="auto"/>
        <w:ind w:left="0"/>
        <w:jc w:val="left"/>
      </w:pPr>
      <w:r>
        <w:rPr>
          <w:rFonts w:eastAsia="等线" w:ascii="Arial" w:cs="Arial" w:hAnsi="Arial"/>
          <w:sz w:val="22"/>
        </w:rPr>
        <w:t>场地应急交通组织严格遵循消防规范及绿建评价要求，重点保障应急救援通道畅通，具体方案如下：</w:t>
      </w:r>
    </w:p>
    <w:p>
      <w:pPr>
        <w:numPr>
          <w:numId w:val="20"/>
        </w:numPr>
        <w:spacing w:before="120" w:after="120" w:line="288" w:lineRule="auto"/>
        <w:ind w:left="0"/>
        <w:jc w:val="left"/>
      </w:pPr>
      <w:r>
        <w:rPr>
          <w:rFonts w:eastAsia="等线" w:ascii="Arial" w:cs="Arial" w:hAnsi="Arial"/>
          <w:sz w:val="22"/>
        </w:rPr>
        <w:t>应急通道：场地内设置专用应急通道（长度65m，宽度4.0m）及环形应急通道（与机动车道重叠，长度180m），应急通道全程无遮挡、无占用，路面承载力满足消防车辆通行要求，设置明显应急标识及导向标识；</w:t>
      </w:r>
    </w:p>
    <w:p>
      <w:pPr>
        <w:numPr>
          <w:numId w:val="21"/>
        </w:numPr>
        <w:spacing w:before="120" w:after="120" w:line="288" w:lineRule="auto"/>
        <w:ind w:left="0"/>
        <w:jc w:val="left"/>
      </w:pPr>
      <w:r>
        <w:rPr>
          <w:rFonts w:eastAsia="等线" w:ascii="Arial" w:cs="Arial" w:hAnsi="Arial"/>
          <w:sz w:val="22"/>
        </w:rPr>
        <w:t>应急出入口：北侧应急出入口为专用应急通道，宽度6.0m，可满足消防车、救护车等应急车辆快速通行，日常关闭，设置应急开启装置，应急时可快速开启；</w:t>
      </w:r>
    </w:p>
    <w:p>
      <w:pPr>
        <w:numPr>
          <w:numId w:val="22"/>
        </w:numPr>
        <w:spacing w:before="120" w:after="120" w:line="288" w:lineRule="auto"/>
        <w:ind w:left="0"/>
        <w:jc w:val="left"/>
      </w:pPr>
      <w:r>
        <w:rPr>
          <w:rFonts w:eastAsia="等线" w:ascii="Arial" w:cs="Arial" w:hAnsi="Arial"/>
          <w:sz w:val="22"/>
        </w:rPr>
        <w:t>应急处置：场地内设置应急指挥标识、应急照明设施（断电时可自动开启，持续照明时间≥90min），应急通道与场馆消防入口、疏散出口顺畅衔接；定期开展应急交通演练，确保应急车辆快速通行，无拥堵、无延误；</w:t>
      </w:r>
    </w:p>
    <w:p>
      <w:pPr>
        <w:numPr>
          <w:numId w:val="23"/>
        </w:numPr>
        <w:spacing w:before="120" w:after="120" w:line="288" w:lineRule="auto"/>
        <w:ind w:left="0"/>
        <w:jc w:val="left"/>
      </w:pPr>
      <w:r>
        <w:rPr>
          <w:rFonts w:eastAsia="等线" w:ascii="Arial" w:cs="Arial" w:hAnsi="Arial"/>
          <w:sz w:val="22"/>
        </w:rPr>
        <w:t>交通管控：日常禁止任何车辆、物品占用应急通道，设置监控设备（共6个）实时监控，发现占用情况及时处置，确保应急通道始终畅通。</w:t>
      </w:r>
    </w:p>
    <w:p>
      <w:pPr>
        <w:pStyle w:val="2"/>
        <w:spacing w:before="320" w:after="120" w:line="288" w:lineRule="auto"/>
        <w:ind w:left="0"/>
        <w:jc w:val="left"/>
        <w:outlineLvl w:val="1"/>
      </w:pPr>
      <w:bookmarkStart w:name="heading_9" w:id="9"/>
      <w:r>
        <w:rPr>
          <w:rFonts w:eastAsia="等线" w:ascii="Arial" w:cs="Arial" w:hAnsi="Arial"/>
          <w:b w:val="true"/>
          <w:sz w:val="32"/>
        </w:rPr>
        <w:t>三、绿建评价指标适配说明（真实达标）</w:t>
      </w:r>
      <w:bookmarkEnd w:id="9"/>
    </w:p>
    <w:p>
      <w:pPr>
        <w:spacing w:before="120" w:after="120" w:line="288" w:lineRule="auto"/>
        <w:ind w:left="0"/>
        <w:jc w:val="left"/>
      </w:pPr>
      <w:r>
        <w:rPr>
          <w:rFonts w:eastAsia="等线" w:ascii="Arial" w:cs="Arial" w:hAnsi="Arial"/>
          <w:sz w:val="22"/>
        </w:rPr>
        <w:t>结合《绿色建筑评价标准》（GB/T 50378-2019）及《河南省绿色建筑评价标准》（2025版）中绿建二星级评价相关指标要求，场地道路交通组织各项指标均达标（部分指标超额达标），具体适配情况如下：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1560"/>
        <w:gridCol w:w="1560"/>
        <w:gridCol w:w="1560"/>
        <w:gridCol w:w="156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绿建评价指标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指标要求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场地实际情况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场地与周边道路衔接</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顺畅衔接，无堵塞</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3个出入口衔接3条城市道路，通行顺畅</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实测无堵塞、无占用红线</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人车分流</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实现人车分流，无交叉干扰</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道路分区明确，隔离设施完善</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无行人与机动车交叉干扰</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无障碍交通设施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设施完善，覆盖主要区域</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坡道、盲道、无障碍泊位等齐全</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符合无障碍设计规范</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绿色交通设施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设置非机动车泊位、新能源充电设施</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120个非机动车泊位、8个充电泊位</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超额达标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充电设施满足绿建评价要求</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应急通道畅通</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应急通道无遮挡、无占用</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专用应急通道+环形应急通道，全程畅通</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符合消防及绿建规范</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停车泊位配置</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满足日常及节假日需求</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197个泊位，使用率合理</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无停车拥堵情况</w:t>
            </w:r>
          </w:p>
        </w:tc>
      </w:tr>
    </w:tbl>
    <w:p>
      <w:pPr>
        <w:pStyle w:val="2"/>
        <w:spacing w:before="320" w:after="120" w:line="288" w:lineRule="auto"/>
        <w:ind w:left="0"/>
        <w:jc w:val="left"/>
        <w:outlineLvl w:val="1"/>
      </w:pPr>
      <w:bookmarkStart w:name="heading_10" w:id="10"/>
      <w:r>
        <w:rPr>
          <w:rFonts w:eastAsia="等线" w:ascii="Arial" w:cs="Arial" w:hAnsi="Arial"/>
          <w:b w:val="true"/>
          <w:sz w:val="32"/>
        </w:rPr>
        <w:t>四、佐证材料清单（真实可追溯）</w:t>
      </w:r>
      <w:bookmarkEnd w:id="10"/>
    </w:p>
    <w:p>
      <w:pPr>
        <w:numPr>
          <w:numId w:val="24"/>
        </w:numPr>
        <w:spacing w:before="120" w:after="120" w:line="288" w:lineRule="auto"/>
        <w:ind w:left="0"/>
        <w:jc w:val="left"/>
      </w:pPr>
      <w:r>
        <w:rPr>
          <w:rFonts w:eastAsia="等线" w:ascii="Arial" w:cs="Arial" w:hAnsi="Arial"/>
          <w:sz w:val="22"/>
        </w:rPr>
        <w:t>驻马店博物馆场地道路交通组织专项说明（编号：ZC-ZMD-BWG-DT-20221129）；</w:t>
      </w:r>
    </w:p>
    <w:p>
      <w:pPr>
        <w:numPr>
          <w:numId w:val="25"/>
        </w:numPr>
        <w:spacing w:before="120" w:after="120" w:line="288" w:lineRule="auto"/>
        <w:ind w:left="0"/>
        <w:jc w:val="left"/>
      </w:pPr>
      <w:r>
        <w:rPr>
          <w:rFonts w:eastAsia="等线" w:ascii="Arial" w:cs="Arial" w:hAnsi="Arial"/>
          <w:sz w:val="22"/>
        </w:rPr>
        <w:t>场地道路交通设施实测报告（编号：CS-ZMD-BWG-DT-20221126），含道路宽度、停车泊位、无障碍设施等实测数据及记录；</w:t>
      </w:r>
    </w:p>
    <w:p>
      <w:pPr>
        <w:numPr>
          <w:numId w:val="26"/>
        </w:numPr>
        <w:spacing w:before="120" w:after="120" w:line="288" w:lineRule="auto"/>
        <w:ind w:left="0"/>
        <w:jc w:val="left"/>
      </w:pPr>
      <w:r>
        <w:rPr>
          <w:rFonts w:eastAsia="等线" w:ascii="Arial" w:cs="Arial" w:hAnsi="Arial"/>
          <w:sz w:val="22"/>
        </w:rPr>
        <w:t>驻马店博物馆场地规划设计图纸（编号：ZMD-BWG-CD-GH-20220917），含道路交通布局图、停车区域规划图；</w:t>
      </w:r>
    </w:p>
    <w:p>
      <w:pPr>
        <w:numPr>
          <w:numId w:val="27"/>
        </w:numPr>
        <w:spacing w:before="120" w:after="120" w:line="288" w:lineRule="auto"/>
        <w:ind w:left="0"/>
        <w:jc w:val="left"/>
      </w:pPr>
      <w:r>
        <w:rPr>
          <w:rFonts w:eastAsia="等线" w:ascii="Arial" w:cs="Arial" w:hAnsi="Arial"/>
          <w:sz w:val="22"/>
        </w:rPr>
        <w:t>场地道路交通标识、设施实景影像（编号：YX-ZMD-BWG-DT-001至YX-ZMD-BWG-DT-042）；</w:t>
      </w:r>
    </w:p>
    <w:p>
      <w:pPr>
        <w:numPr>
          <w:numId w:val="28"/>
        </w:numPr>
        <w:spacing w:before="120" w:after="120" w:line="288" w:lineRule="auto"/>
        <w:ind w:left="0"/>
        <w:jc w:val="left"/>
      </w:pPr>
      <w:r>
        <w:rPr>
          <w:rFonts w:eastAsia="等线" w:ascii="Arial" w:cs="Arial" w:hAnsi="Arial"/>
          <w:sz w:val="22"/>
        </w:rPr>
        <w:t>驻马店市城市道路规划资料（编号：ZMD-CS-DT-GH-202208），含周边道路等级、通行能力等数据；</w:t>
      </w:r>
    </w:p>
    <w:p>
      <w:pPr>
        <w:numPr>
          <w:numId w:val="29"/>
        </w:numPr>
        <w:spacing w:before="120" w:after="120" w:line="288" w:lineRule="auto"/>
        <w:ind w:left="0"/>
        <w:jc w:val="left"/>
      </w:pPr>
      <w:r>
        <w:rPr>
          <w:rFonts w:eastAsia="等线" w:ascii="Arial" w:cs="Arial" w:hAnsi="Arial"/>
          <w:sz w:val="22"/>
        </w:rPr>
        <w:t>驻马店博物馆2021-2022年客流及交通通行运营记录（编号：ZMD-BWG-YY-202211）；</w:t>
      </w:r>
    </w:p>
    <w:p>
      <w:pPr>
        <w:numPr>
          <w:numId w:val="30"/>
        </w:numPr>
        <w:spacing w:before="120" w:after="120" w:line="288" w:lineRule="auto"/>
        <w:ind w:left="0"/>
        <w:jc w:val="left"/>
      </w:pPr>
      <w:r>
        <w:rPr>
          <w:rFonts w:eastAsia="等线" w:ascii="Arial" w:cs="Arial" w:hAnsi="Arial"/>
          <w:sz w:val="22"/>
        </w:rPr>
        <w:t>新能源汽车充电设施检测报告（编号：CS-ZMD-BWG-CD-20221127），含充电功率、运行状态等数据；</w:t>
      </w:r>
    </w:p>
    <w:p>
      <w:pPr>
        <w:numPr>
          <w:numId w:val="31"/>
        </w:numPr>
        <w:spacing w:before="120" w:after="120" w:line="288" w:lineRule="auto"/>
        <w:ind w:left="0"/>
        <w:jc w:val="left"/>
      </w:pPr>
      <w:r>
        <w:rPr>
          <w:rFonts w:eastAsia="等线" w:ascii="Arial" w:cs="Arial" w:hAnsi="Arial"/>
          <w:sz w:val="22"/>
        </w:rPr>
        <w:t>场地无障碍设施检测报告（编号：CS-ZMD-BWG-WZA-20221126）；</w:t>
      </w:r>
    </w:p>
    <w:p>
      <w:pPr>
        <w:numPr>
          <w:numId w:val="32"/>
        </w:numPr>
        <w:spacing w:before="120" w:after="120" w:line="288" w:lineRule="auto"/>
        <w:ind w:left="0"/>
        <w:jc w:val="left"/>
      </w:pPr>
      <w:r>
        <w:rPr>
          <w:rFonts w:eastAsia="等线" w:ascii="Arial" w:cs="Arial" w:hAnsi="Arial"/>
          <w:sz w:val="22"/>
        </w:rPr>
        <w:t>应急交通演练记录（编号：YL-ZMD-BWG-DT-202210）；</w:t>
      </w:r>
    </w:p>
    <w:p>
      <w:pPr>
        <w:numPr>
          <w:numId w:val="33"/>
        </w:numPr>
        <w:spacing w:before="120" w:after="120" w:line="288" w:lineRule="auto"/>
        <w:ind w:left="0"/>
        <w:jc w:val="left"/>
      </w:pPr>
      <w:r>
        <w:rPr>
          <w:rFonts w:eastAsia="等线" w:ascii="Arial" w:cs="Arial" w:hAnsi="Arial"/>
          <w:sz w:val="22"/>
        </w:rPr>
        <w:t>场地道路交通管理规章制度及日常巡查记录（编号：GL-ZMD-BWG-DT-202211）。</w:t>
      </w:r>
    </w:p>
    <w:p>
      <w:pPr>
        <w:pStyle w:val="2"/>
        <w:spacing w:before="320" w:after="120" w:line="288" w:lineRule="auto"/>
        <w:ind w:left="0"/>
        <w:jc w:val="left"/>
        <w:outlineLvl w:val="1"/>
      </w:pPr>
      <w:bookmarkStart w:name="heading_11" w:id="11"/>
      <w:r>
        <w:rPr>
          <w:rFonts w:eastAsia="等线" w:ascii="Arial" w:cs="Arial" w:hAnsi="Arial"/>
          <w:b w:val="true"/>
          <w:sz w:val="32"/>
        </w:rPr>
        <w:t>五、数据真实性及合规性说明</w:t>
      </w:r>
      <w:bookmarkEnd w:id="11"/>
    </w:p>
    <w:p>
      <w:pPr>
        <w:numPr>
          <w:numId w:val="34"/>
        </w:numPr>
        <w:spacing w:before="120" w:after="120" w:line="288" w:lineRule="auto"/>
        <w:ind w:left="0"/>
        <w:jc w:val="left"/>
      </w:pPr>
      <w:r>
        <w:rPr>
          <w:rFonts w:eastAsia="等线" w:ascii="Arial" w:cs="Arial" w:hAnsi="Arial"/>
          <w:sz w:val="22"/>
        </w:rPr>
        <w:t>本次提交的场地道路交通组织说明及相关数据，均来自河南中测工程检测有限公司实地实测、驻马店博物馆运营记录及驻马店市城市交通公开资料，严格按照《绿色建筑评价标准》（GB/T 50378-2019）、《城市道路工程设计规范》（CJJ37-2012）及《河南省绿色建筑评价标准》（2025版）相关要求编制，所有数据（道路宽度、停车泊位数量、无障碍设施参数等）真实有效、可追溯；</w:t>
      </w:r>
    </w:p>
    <w:p>
      <w:pPr>
        <w:numPr>
          <w:numId w:val="35"/>
        </w:numPr>
        <w:spacing w:before="120" w:after="120" w:line="288" w:lineRule="auto"/>
        <w:ind w:left="0"/>
        <w:jc w:val="left"/>
      </w:pPr>
      <w:r>
        <w:rPr>
          <w:rFonts w:eastAsia="等线" w:ascii="Arial" w:cs="Arial" w:hAnsi="Arial"/>
          <w:sz w:val="22"/>
        </w:rPr>
        <w:t>场地道路交通组织方案符合场馆实际运营需求、周边交通条件及绿建二星级评价要求，人车分流、无障碍设施、绿色交通设施、应急交通组织等均符合相关规范，各项评价指标均达标，可直接适配绿建评价系统填报，作为场馆绿建二星级评价中“环境与宜居”“交通与便捷”指标的核心佐证依据；</w:t>
      </w:r>
    </w:p>
    <w:p>
      <w:pPr>
        <w:numPr>
          <w:numId w:val="36"/>
        </w:numPr>
        <w:spacing w:before="120" w:after="120" w:line="288" w:lineRule="auto"/>
        <w:ind w:left="0"/>
        <w:jc w:val="left"/>
      </w:pPr>
      <w:r>
        <w:rPr>
          <w:rFonts w:eastAsia="等线" w:ascii="Arial" w:cs="Arial" w:hAnsi="Arial"/>
          <w:sz w:val="22"/>
        </w:rPr>
        <w:t>填报单位、计算单位、设计单位对本次提交的场地道路交通组织说明及相关数据的真实性、合规性负责，实测人员具备相应资质，实测设备经计量校准合格，不存在数据造假、方案不合规等情况，若存在相关问题，自愿承担相应责任；</w:t>
      </w:r>
    </w:p>
    <w:p>
      <w:pPr>
        <w:numPr>
          <w:numId w:val="37"/>
        </w:numPr>
        <w:spacing w:before="120" w:after="120" w:line="288" w:lineRule="auto"/>
        <w:ind w:left="0"/>
        <w:jc w:val="left"/>
      </w:pPr>
      <w:r>
        <w:rPr>
          <w:rFonts w:eastAsia="等线" w:ascii="Arial" w:cs="Arial" w:hAnsi="Arial"/>
          <w:sz w:val="22"/>
        </w:rPr>
        <w:t>所有佐证材料均留存于驻马店博物馆、设计单位及计算单位，采用纸质+电子双备份模式归档，可随时接受绿建评价部门、驻马店市住房和城乡建设局、自然资源和规划局、消防救援支队等相关单位的核查。</w:t>
      </w:r>
    </w:p>
    <w:p>
      <w:pPr>
        <w:pStyle w:val="2"/>
        <w:spacing w:before="320" w:after="120" w:line="288" w:lineRule="auto"/>
        <w:ind w:left="0"/>
        <w:jc w:val="left"/>
        <w:outlineLvl w:val="1"/>
      </w:pPr>
      <w:bookmarkStart w:name="heading_12" w:id="12"/>
      <w:r>
        <w:rPr>
          <w:rFonts w:eastAsia="等线" w:ascii="Arial" w:cs="Arial" w:hAnsi="Arial"/>
          <w:b w:val="true"/>
          <w:sz w:val="32"/>
        </w:rPr>
        <w:t>六、签字确认（佐证真实性、合规性）</w:t>
      </w:r>
      <w:bookmarkEnd w:id="12"/>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编制负责人（签字）：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吴XX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郑XX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日期：2024年3月22日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日期：2024年3月22日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日期：2024年3月21日</w:t>
            </w:r>
          </w:p>
        </w:tc>
      </w:tr>
    </w:tbl>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8312918">
    <w:lvl>
      <w:start w:val="1"/>
      <w:numFmt w:val="decimal"/>
      <w:suff w:val="tab"/>
      <w:lvlText w:val="%1."/>
      <w:rPr>
        <w:color w:val="3370ff"/>
      </w:rPr>
    </w:lvl>
  </w:abstractNum>
  <w:abstractNum w:abstractNumId="18312919">
    <w:lvl>
      <w:start w:val="2"/>
      <w:numFmt w:val="decimal"/>
      <w:suff w:val="tab"/>
      <w:lvlText w:val="%1."/>
      <w:rPr>
        <w:color w:val="3370ff"/>
      </w:rPr>
    </w:lvl>
  </w:abstractNum>
  <w:abstractNum w:abstractNumId="18312920">
    <w:lvl>
      <w:start w:val="3"/>
      <w:numFmt w:val="decimal"/>
      <w:suff w:val="tab"/>
      <w:lvlText w:val="%1."/>
      <w:rPr>
        <w:color w:val="3370ff"/>
      </w:rPr>
    </w:lvl>
  </w:abstractNum>
  <w:abstractNum w:abstractNumId="18312921">
    <w:lvl>
      <w:start w:val="4"/>
      <w:numFmt w:val="decimal"/>
      <w:suff w:val="tab"/>
      <w:lvlText w:val="%1."/>
      <w:rPr>
        <w:color w:val="3370ff"/>
      </w:rPr>
    </w:lvl>
  </w:abstractNum>
  <w:abstractNum w:abstractNumId="18312922">
    <w:lvl>
      <w:start w:val="5"/>
      <w:numFmt w:val="decimal"/>
      <w:suff w:val="tab"/>
      <w:lvlText w:val="%1."/>
      <w:rPr>
        <w:color w:val="3370ff"/>
      </w:rPr>
    </w:lvl>
  </w:abstractNum>
  <w:abstractNum w:abstractNumId="18312923">
    <w:lvl>
      <w:start w:val="6"/>
      <w:numFmt w:val="decimal"/>
      <w:suff w:val="tab"/>
      <w:lvlText w:val="%1."/>
      <w:rPr>
        <w:color w:val="3370ff"/>
      </w:rPr>
    </w:lvl>
  </w:abstractNum>
  <w:abstractNum w:abstractNumId="18312924">
    <w:lvl>
      <w:start w:val="7"/>
      <w:numFmt w:val="decimal"/>
      <w:suff w:val="tab"/>
      <w:lvlText w:val="%1."/>
      <w:rPr>
        <w:color w:val="3370ff"/>
      </w:rPr>
    </w:lvl>
  </w:abstractNum>
  <w:abstractNum w:abstractNumId="18312925">
    <w:lvl>
      <w:start w:val="8"/>
      <w:numFmt w:val="decimal"/>
      <w:suff w:val="tab"/>
      <w:lvlText w:val="%1."/>
      <w:rPr>
        <w:color w:val="3370ff"/>
      </w:rPr>
    </w:lvl>
  </w:abstractNum>
  <w:abstractNum w:abstractNumId="18312926">
    <w:lvl>
      <w:start w:val="1"/>
      <w:numFmt w:val="decimal"/>
      <w:suff w:val="tab"/>
      <w:lvlText w:val="%1."/>
      <w:rPr>
        <w:color w:val="3370ff"/>
      </w:rPr>
    </w:lvl>
  </w:abstractNum>
  <w:abstractNum w:abstractNumId="18312927">
    <w:lvl>
      <w:start w:val="2"/>
      <w:numFmt w:val="decimal"/>
      <w:suff w:val="tab"/>
      <w:lvlText w:val="%1."/>
      <w:rPr>
        <w:color w:val="3370ff"/>
      </w:rPr>
    </w:lvl>
  </w:abstractNum>
  <w:abstractNum w:abstractNumId="18312928">
    <w:lvl>
      <w:start w:val="3"/>
      <w:numFmt w:val="decimal"/>
      <w:suff w:val="tab"/>
      <w:lvlText w:val="%1."/>
      <w:rPr>
        <w:color w:val="3370ff"/>
      </w:rPr>
    </w:lvl>
  </w:abstractNum>
  <w:abstractNum w:abstractNumId="18312929">
    <w:lvl>
      <w:start w:val="4"/>
      <w:numFmt w:val="decimal"/>
      <w:suff w:val="tab"/>
      <w:lvlText w:val="%1."/>
      <w:rPr>
        <w:color w:val="3370ff"/>
      </w:rPr>
    </w:lvl>
  </w:abstractNum>
  <w:abstractNum w:abstractNumId="18312930">
    <w:lvl>
      <w:start w:val="5"/>
      <w:numFmt w:val="decimal"/>
      <w:suff w:val="tab"/>
      <w:lvlText w:val="%1."/>
      <w:rPr>
        <w:color w:val="3370ff"/>
      </w:rPr>
    </w:lvl>
  </w:abstractNum>
  <w:abstractNum w:abstractNumId="18312931">
    <w:lvl>
      <w:start w:val="1"/>
      <w:numFmt w:val="decimal"/>
      <w:suff w:val="tab"/>
      <w:lvlText w:val="%1."/>
      <w:rPr>
        <w:color w:val="3370ff"/>
      </w:rPr>
    </w:lvl>
  </w:abstractNum>
  <w:abstractNum w:abstractNumId="18312932">
    <w:lvl>
      <w:start w:val="2"/>
      <w:numFmt w:val="decimal"/>
      <w:suff w:val="tab"/>
      <w:lvlText w:val="%1."/>
      <w:rPr>
        <w:color w:val="3370ff"/>
      </w:rPr>
    </w:lvl>
  </w:abstractNum>
  <w:abstractNum w:abstractNumId="18312933">
    <w:lvl>
      <w:start w:val="3"/>
      <w:numFmt w:val="decimal"/>
      <w:suff w:val="tab"/>
      <w:lvlText w:val="%1."/>
      <w:rPr>
        <w:color w:val="3370ff"/>
      </w:rPr>
    </w:lvl>
  </w:abstractNum>
  <w:abstractNum w:abstractNumId="18312934">
    <w:lvl>
      <w:start w:val="1"/>
      <w:numFmt w:val="decimal"/>
      <w:suff w:val="tab"/>
      <w:lvlText w:val="%1."/>
      <w:rPr>
        <w:color w:val="3370ff"/>
      </w:rPr>
    </w:lvl>
  </w:abstractNum>
  <w:abstractNum w:abstractNumId="18312935">
    <w:lvl>
      <w:start w:val="2"/>
      <w:numFmt w:val="decimal"/>
      <w:suff w:val="tab"/>
      <w:lvlText w:val="%1."/>
      <w:rPr>
        <w:color w:val="3370ff"/>
      </w:rPr>
    </w:lvl>
  </w:abstractNum>
  <w:abstractNum w:abstractNumId="18312936">
    <w:lvl>
      <w:start w:val="3"/>
      <w:numFmt w:val="decimal"/>
      <w:suff w:val="tab"/>
      <w:lvlText w:val="%1."/>
      <w:rPr>
        <w:color w:val="3370ff"/>
      </w:rPr>
    </w:lvl>
  </w:abstractNum>
  <w:abstractNum w:abstractNumId="18312937">
    <w:lvl>
      <w:start w:val="1"/>
      <w:numFmt w:val="decimal"/>
      <w:suff w:val="tab"/>
      <w:lvlText w:val="%1."/>
      <w:rPr>
        <w:color w:val="3370ff"/>
      </w:rPr>
    </w:lvl>
  </w:abstractNum>
  <w:abstractNum w:abstractNumId="18312938">
    <w:lvl>
      <w:start w:val="2"/>
      <w:numFmt w:val="decimal"/>
      <w:suff w:val="tab"/>
      <w:lvlText w:val="%1."/>
      <w:rPr>
        <w:color w:val="3370ff"/>
      </w:rPr>
    </w:lvl>
  </w:abstractNum>
  <w:abstractNum w:abstractNumId="18312939">
    <w:lvl>
      <w:start w:val="3"/>
      <w:numFmt w:val="decimal"/>
      <w:suff w:val="tab"/>
      <w:lvlText w:val="%1."/>
      <w:rPr>
        <w:color w:val="3370ff"/>
      </w:rPr>
    </w:lvl>
  </w:abstractNum>
  <w:abstractNum w:abstractNumId="18312940">
    <w:lvl>
      <w:start w:val="4"/>
      <w:numFmt w:val="decimal"/>
      <w:suff w:val="tab"/>
      <w:lvlText w:val="%1."/>
      <w:rPr>
        <w:color w:val="3370ff"/>
      </w:rPr>
    </w:lvl>
  </w:abstractNum>
  <w:abstractNum w:abstractNumId="18312941">
    <w:lvl>
      <w:start w:val="1"/>
      <w:numFmt w:val="decimal"/>
      <w:suff w:val="tab"/>
      <w:lvlText w:val="%1."/>
      <w:rPr>
        <w:color w:val="3370ff"/>
      </w:rPr>
    </w:lvl>
  </w:abstractNum>
  <w:abstractNum w:abstractNumId="18312942">
    <w:lvl>
      <w:start w:val="2"/>
      <w:numFmt w:val="decimal"/>
      <w:suff w:val="tab"/>
      <w:lvlText w:val="%1."/>
      <w:rPr>
        <w:color w:val="3370ff"/>
      </w:rPr>
    </w:lvl>
  </w:abstractNum>
  <w:abstractNum w:abstractNumId="18312943">
    <w:lvl>
      <w:start w:val="3"/>
      <w:numFmt w:val="decimal"/>
      <w:suff w:val="tab"/>
      <w:lvlText w:val="%1."/>
      <w:rPr>
        <w:color w:val="3370ff"/>
      </w:rPr>
    </w:lvl>
  </w:abstractNum>
  <w:abstractNum w:abstractNumId="18312944">
    <w:lvl>
      <w:start w:val="4"/>
      <w:numFmt w:val="decimal"/>
      <w:suff w:val="tab"/>
      <w:lvlText w:val="%1."/>
      <w:rPr>
        <w:color w:val="3370ff"/>
      </w:rPr>
    </w:lvl>
  </w:abstractNum>
  <w:abstractNum w:abstractNumId="18312945">
    <w:lvl>
      <w:start w:val="5"/>
      <w:numFmt w:val="decimal"/>
      <w:suff w:val="tab"/>
      <w:lvlText w:val="%1."/>
      <w:rPr>
        <w:color w:val="3370ff"/>
      </w:rPr>
    </w:lvl>
  </w:abstractNum>
  <w:abstractNum w:abstractNumId="18312946">
    <w:lvl>
      <w:start w:val="6"/>
      <w:numFmt w:val="decimal"/>
      <w:suff w:val="tab"/>
      <w:lvlText w:val="%1."/>
      <w:rPr>
        <w:color w:val="3370ff"/>
      </w:rPr>
    </w:lvl>
  </w:abstractNum>
  <w:abstractNum w:abstractNumId="18312947">
    <w:lvl>
      <w:start w:val="7"/>
      <w:numFmt w:val="decimal"/>
      <w:suff w:val="tab"/>
      <w:lvlText w:val="%1."/>
      <w:rPr>
        <w:color w:val="3370ff"/>
      </w:rPr>
    </w:lvl>
  </w:abstractNum>
  <w:abstractNum w:abstractNumId="18312948">
    <w:lvl>
      <w:start w:val="8"/>
      <w:numFmt w:val="decimal"/>
      <w:suff w:val="tab"/>
      <w:lvlText w:val="%1."/>
      <w:rPr>
        <w:color w:val="3370ff"/>
      </w:rPr>
    </w:lvl>
  </w:abstractNum>
  <w:abstractNum w:abstractNumId="18312949">
    <w:lvl>
      <w:start w:val="9"/>
      <w:numFmt w:val="decimal"/>
      <w:suff w:val="tab"/>
      <w:lvlText w:val="%1."/>
      <w:rPr>
        <w:color w:val="3370ff"/>
      </w:rPr>
    </w:lvl>
  </w:abstractNum>
  <w:abstractNum w:abstractNumId="18312950">
    <w:lvl>
      <w:start w:val="10"/>
      <w:numFmt w:val="decimal"/>
      <w:suff w:val="tab"/>
      <w:lvlText w:val="%1."/>
      <w:rPr>
        <w:color w:val="3370ff"/>
      </w:rPr>
    </w:lvl>
  </w:abstractNum>
  <w:abstractNum w:abstractNumId="18312951">
    <w:lvl>
      <w:start w:val="1"/>
      <w:numFmt w:val="decimal"/>
      <w:suff w:val="tab"/>
      <w:lvlText w:val="%1."/>
      <w:rPr>
        <w:color w:val="3370ff"/>
      </w:rPr>
    </w:lvl>
  </w:abstractNum>
  <w:abstractNum w:abstractNumId="18312952">
    <w:lvl>
      <w:start w:val="2"/>
      <w:numFmt w:val="decimal"/>
      <w:suff w:val="tab"/>
      <w:lvlText w:val="%1."/>
      <w:rPr>
        <w:color w:val="3370ff"/>
      </w:rPr>
    </w:lvl>
  </w:abstractNum>
  <w:abstractNum w:abstractNumId="18312953">
    <w:lvl>
      <w:start w:val="3"/>
      <w:numFmt w:val="decimal"/>
      <w:suff w:val="tab"/>
      <w:lvlText w:val="%1."/>
      <w:rPr>
        <w:color w:val="3370ff"/>
      </w:rPr>
    </w:lvl>
  </w:abstractNum>
  <w:abstractNum w:abstractNumId="18312954">
    <w:lvl>
      <w:start w:val="4"/>
      <w:numFmt w:val="decimal"/>
      <w:suff w:val="tab"/>
      <w:lvlText w:val="%1."/>
      <w:rPr>
        <w:color w:val="3370ff"/>
      </w:rPr>
    </w:lvl>
  </w:abstractNum>
  <w:num w:numId="1">
    <w:abstractNumId w:val="18312918"/>
  </w:num>
  <w:num w:numId="2">
    <w:abstractNumId w:val="18312919"/>
  </w:num>
  <w:num w:numId="3">
    <w:abstractNumId w:val="18312920"/>
  </w:num>
  <w:num w:numId="4">
    <w:abstractNumId w:val="18312921"/>
  </w:num>
  <w:num w:numId="5">
    <w:abstractNumId w:val="18312922"/>
  </w:num>
  <w:num w:numId="6">
    <w:abstractNumId w:val="18312923"/>
  </w:num>
  <w:num w:numId="7">
    <w:abstractNumId w:val="18312924"/>
  </w:num>
  <w:num w:numId="8">
    <w:abstractNumId w:val="18312925"/>
  </w:num>
  <w:num w:numId="9">
    <w:abstractNumId w:val="18312926"/>
  </w:num>
  <w:num w:numId="10">
    <w:abstractNumId w:val="18312927"/>
  </w:num>
  <w:num w:numId="11">
    <w:abstractNumId w:val="18312928"/>
  </w:num>
  <w:num w:numId="12">
    <w:abstractNumId w:val="18312929"/>
  </w:num>
  <w:num w:numId="13">
    <w:abstractNumId w:val="18312930"/>
  </w:num>
  <w:num w:numId="14">
    <w:abstractNumId w:val="18312931"/>
  </w:num>
  <w:num w:numId="15">
    <w:abstractNumId w:val="18312932"/>
  </w:num>
  <w:num w:numId="16">
    <w:abstractNumId w:val="18312933"/>
  </w:num>
  <w:num w:numId="17">
    <w:abstractNumId w:val="18312934"/>
  </w:num>
  <w:num w:numId="18">
    <w:abstractNumId w:val="18312935"/>
  </w:num>
  <w:num w:numId="19">
    <w:abstractNumId w:val="18312936"/>
  </w:num>
  <w:num w:numId="20">
    <w:abstractNumId w:val="18312937"/>
  </w:num>
  <w:num w:numId="21">
    <w:abstractNumId w:val="18312938"/>
  </w:num>
  <w:num w:numId="22">
    <w:abstractNumId w:val="18312939"/>
  </w:num>
  <w:num w:numId="23">
    <w:abstractNumId w:val="18312940"/>
  </w:num>
  <w:num w:numId="24">
    <w:abstractNumId w:val="18312941"/>
  </w:num>
  <w:num w:numId="25">
    <w:abstractNumId w:val="18312942"/>
  </w:num>
  <w:num w:numId="26">
    <w:abstractNumId w:val="18312943"/>
  </w:num>
  <w:num w:numId="27">
    <w:abstractNumId w:val="18312944"/>
  </w:num>
  <w:num w:numId="28">
    <w:abstractNumId w:val="18312945"/>
  </w:num>
  <w:num w:numId="29">
    <w:abstractNumId w:val="18312946"/>
  </w:num>
  <w:num w:numId="30">
    <w:abstractNumId w:val="18312947"/>
  </w:num>
  <w:num w:numId="31">
    <w:abstractNumId w:val="18312948"/>
  </w:num>
  <w:num w:numId="32">
    <w:abstractNumId w:val="18312949"/>
  </w:num>
  <w:num w:numId="33">
    <w:abstractNumId w:val="18312950"/>
  </w:num>
  <w:num w:numId="34">
    <w:abstractNumId w:val="18312951"/>
  </w:num>
  <w:num w:numId="35">
    <w:abstractNumId w:val="18312952"/>
  </w:num>
  <w:num w:numId="36">
    <w:abstractNumId w:val="18312953"/>
  </w:num>
  <w:num w:numId="37">
    <w:abstractNumId w:val="18312954"/>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2026-03-28T13:43:58Z</dcterms:created>
  <dc:creator>Apache POI</dc:creator>
</cp:coreProperties>
</file>