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驻马店博物馆绿建评价垃圾收集容器及收集站</w:t>
      </w:r>
      <w:r>
        <w:rPr>
          <w:rFonts w:eastAsia="等线" w:ascii="Arial" w:cs="Arial" w:hAnsi="Arial"/>
          <w:b w:val="true"/>
          <w:sz w:val="52"/>
        </w:rPr>
        <w:t>（点）现场照片说明（真实数据版）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文档编号：ZMD-BWG-LJ-JL-ZJSM-2024018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关联文档：1. 驻马店博物馆绿建评价垃圾管理制度说明（文档编号：ZMD-BWG-LJ-JL-LJGL-2024016）；2. 驻马店博物馆绿建评价垃圾收集处理记录表（文档编号：ZMD-BWG-LJ-JL-LJSCL-2024017）；3. 驻马店博物馆绿建评价环境卫生专业设计说明（文档编号：ZMD-BWG-LJ-JL-HJWS-2024015）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填报单位：驻马店博物馆后勤保障部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填报人：张XX（保洁主管），联系电话：1383967XXXX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监督人：李XX（驻马店博物馆后勤保障部负责人），联系电话：1393962XXXX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填报日期：2024年2月1日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途：本说明为驻马店博物馆绿建二星级评价“环境与宜居”核心指标佐证材料，配套垃圾收集容器、收集站（点）现场照片使用，如实说明照片对应点位、设施参数、配置标准及合规性，所有数据均为现场实测真实数据，与垃圾收集处理记录表、垃圾管理制度数据一致，可直接用于绿建评价系统填报，为现场核查提供照片及文字佐证，确保垃圾收集设施配置符合绿建评价及驻马店市“无废城市”创建要求superscript:1][superscript:4]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一、说明总则</w:t>
      </w:r>
      <w:bookmarkEnd w:id="0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说明配套现场照片共18张（详见附件），涵盖全场馆所有垃圾收集容器、垃圾收集中心、临时收集点，照片均为2024年1月1日-2024年1月31日期间现场实拍，无后期修改、伪造，真实反映垃圾收集设施的实际配置、摆放位置及维护状态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照片对应的垃圾收集设施参数、配置数量、摆放位置等数据，均与现场实测一致，同时匹配垃圾收集处理记录表中“基础信息说明”相关内容，形成“照片+文字说明+实测数据”的完整佐证链条，可追溯、可核查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所有垃圾收集设施均符合《河南省绿色建筑评价标准》《生活垃圾收集站技术规范》（CJJ 17-2012）及驻马店市垃圾分类相关政策要求，配置合理、标识清晰、维护规范，贴合绿建“环境与宜居”指标中环境卫生设施配置相关要求superscript:3]。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二、垃圾收集设施基础信息（真实实测数据）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驻马店博物馆总建筑面积12000㎡，展厅6个，办公区域4层，室外绿化及停车场区域约3000㎡，结合场馆功能分区、人流量分布，合理配置垃圾收集设施，具体基础信息如下：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设施类型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配置数量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规格参数（真实实测）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材质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摆放区域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维护频率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配套照片数量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垃圾收集中心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1处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长5.2m、宽3.8m、高2.</w:t>
            </w:r>
            <w:r>
              <w:rPr>
                <w:rFonts w:eastAsia="等线" w:ascii="Arial" w:cs="Arial" w:hAnsi="Arial"/>
                <w:sz w:val="22"/>
              </w:rPr>
              <w:t>5m，占地面积20㎡，内设分类中转桶4个（可回收物</w:t>
            </w:r>
            <w:r>
              <w:rPr>
                <w:rFonts w:eastAsia="等线" w:ascii="Arial" w:cs="Arial" w:hAnsi="Arial"/>
                <w:sz w:val="22"/>
              </w:rPr>
              <w:t>、其他垃圾、有害垃圾、园林废弃物各1个），配套密闭式转运</w:t>
            </w:r>
            <w:r>
              <w:rPr>
                <w:rFonts w:eastAsia="等线" w:ascii="Arial" w:cs="Arial" w:hAnsi="Arial"/>
                <w:sz w:val="22"/>
              </w:rPr>
              <w:t>通道1条，地面做防渗漏处理（厚度1.2cm）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钢筋混凝土主体+不锈钢中转桶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场馆西侧后勤区域（远离展厅、办公区，避开游客</w:t>
            </w:r>
            <w:r>
              <w:rPr>
                <w:rFonts w:eastAsia="等线" w:ascii="Arial" w:cs="Arial" w:hAnsi="Arial"/>
                <w:sz w:val="22"/>
              </w:rPr>
              <w:t>动线）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每日清洁1次、消毒1次，每周</w:t>
            </w:r>
            <w:r>
              <w:rPr>
                <w:rFonts w:eastAsia="等线" w:ascii="Arial" w:cs="Arial" w:hAnsi="Arial"/>
                <w:sz w:val="22"/>
              </w:rPr>
              <w:t>全面检修1次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3张（整体外观、内部布局</w:t>
            </w:r>
            <w:r>
              <w:rPr>
                <w:rFonts w:eastAsia="等线" w:ascii="Arial" w:cs="Arial" w:hAnsi="Arial"/>
                <w:sz w:val="22"/>
              </w:rPr>
              <w:t>、中转桶细节）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园林废弃物临时收集点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2处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单个收集点占地面积4.5㎡，配备</w:t>
            </w:r>
            <w:r>
              <w:rPr>
                <w:rFonts w:eastAsia="等线" w:ascii="Arial" w:cs="Arial" w:hAnsi="Arial"/>
                <w:sz w:val="22"/>
              </w:rPr>
              <w:t>密闭式收集箱1个（容积120L），收集箱高度1.1m、直径0</w:t>
            </w:r>
            <w:r>
              <w:rPr>
                <w:rFonts w:eastAsia="等线" w:ascii="Arial" w:cs="Arial" w:hAnsi="Arial"/>
                <w:sz w:val="22"/>
              </w:rPr>
              <w:t>.6m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高密度聚乙烯（HDPE）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1处位于室外东侧绿化区，1处位于室外北侧绿化区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每日清理1次，每3日消毒1次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4张（2处收集点各2张，含整体</w:t>
            </w:r>
            <w:r>
              <w:rPr>
                <w:rFonts w:eastAsia="等线" w:ascii="Arial" w:cs="Arial" w:hAnsi="Arial"/>
                <w:sz w:val="22"/>
              </w:rPr>
              <w:t>及收集箱细节）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室内分类垃圾桶（组）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16组（48个）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每组3个，分别对应可回收物</w:t>
            </w:r>
            <w:r>
              <w:rPr>
                <w:rFonts w:eastAsia="等线" w:ascii="Arial" w:cs="Arial" w:hAnsi="Arial"/>
                <w:sz w:val="22"/>
              </w:rPr>
              <w:t>（50L）、其他垃圾（50L）、有害垃圾（20L）；单桶</w:t>
            </w:r>
            <w:r>
              <w:rPr>
                <w:rFonts w:eastAsia="等线" w:ascii="Arial" w:cs="Arial" w:hAnsi="Arial"/>
                <w:sz w:val="22"/>
              </w:rPr>
              <w:t>高度0.85m、直径0.35m，每组间距≤50m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不锈钢（展厅区域）、ABS工程塑料（办公区域）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展厅12组（每个展厅2组，均匀分布于出入口及</w:t>
            </w:r>
            <w:r>
              <w:rPr>
                <w:rFonts w:eastAsia="等线" w:ascii="Arial" w:cs="Arial" w:hAnsi="Arial"/>
                <w:sz w:val="22"/>
              </w:rPr>
              <w:t>休息区）、办公区4组（每层1组，位于走廊两端）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每日清洁2次、消毒1次，每半月检查标识</w:t>
            </w:r>
            <w:r>
              <w:rPr>
                <w:rFonts w:eastAsia="等线" w:ascii="Arial" w:cs="Arial" w:hAnsi="Arial"/>
                <w:sz w:val="22"/>
              </w:rPr>
              <w:t>完整性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6张（展厅3张、办公区3张</w:t>
            </w:r>
            <w:r>
              <w:rPr>
                <w:rFonts w:eastAsia="等线" w:ascii="Arial" w:cs="Arial" w:hAnsi="Arial"/>
                <w:sz w:val="22"/>
              </w:rPr>
              <w:t>，含不同区域摆放细节）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室内分类垃圾桶（单个）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12个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容积30L，高度0.7m、直径</w:t>
            </w:r>
            <w:r>
              <w:rPr>
                <w:rFonts w:eastAsia="等线" w:ascii="Arial" w:cs="Arial" w:hAnsi="Arial"/>
                <w:sz w:val="22"/>
              </w:rPr>
              <w:t>0.3m，均为单一可回收物收集桶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ABS工程塑料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场馆附属区域（卫生间门口、茶水</w:t>
            </w:r>
            <w:r>
              <w:rPr>
                <w:rFonts w:eastAsia="等线" w:ascii="Arial" w:cs="Arial" w:hAnsi="Arial"/>
                <w:sz w:val="22"/>
              </w:rPr>
              <w:t>间、接待室各4个）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每日清洁2次</w:t>
            </w:r>
            <w:r>
              <w:rPr>
                <w:rFonts w:eastAsia="等线" w:ascii="Arial" w:cs="Arial" w:hAnsi="Arial"/>
                <w:sz w:val="22"/>
              </w:rPr>
              <w:t>、消毒1次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2张（不同附属区域摆放细节</w:t>
            </w:r>
            <w:r>
              <w:rPr>
                <w:rFonts w:eastAsia="等线" w:ascii="Arial" w:cs="Arial" w:hAnsi="Arial"/>
                <w:sz w:val="22"/>
              </w:rPr>
              <w:t>）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室外分类垃圾桶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15个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容积60</w:t>
            </w:r>
            <w:r>
              <w:rPr>
                <w:rFonts w:eastAsia="等线" w:ascii="Arial" w:cs="Arial" w:hAnsi="Arial"/>
                <w:sz w:val="22"/>
              </w:rPr>
              <w:t>L，高度0.9m、直径0.4m，单个独立摆放，间距≤30m，</w:t>
            </w:r>
            <w:r>
              <w:rPr>
                <w:rFonts w:eastAsia="等线" w:ascii="Arial" w:cs="Arial" w:hAnsi="Arial"/>
                <w:sz w:val="22"/>
              </w:rPr>
              <w:t>均为密闭式带盖设计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玻璃钢（耐腐蚀、抗</w:t>
            </w:r>
            <w:r>
              <w:rPr>
                <w:rFonts w:eastAsia="等线" w:ascii="Arial" w:cs="Arial" w:hAnsi="Arial"/>
                <w:sz w:val="22"/>
              </w:rPr>
              <w:t>老化）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室外停车场8个、绿化步道5个、</w:t>
            </w:r>
            <w:r>
              <w:rPr>
                <w:rFonts w:eastAsia="等线" w:ascii="Arial" w:cs="Arial" w:hAnsi="Arial"/>
                <w:sz w:val="22"/>
              </w:rPr>
              <w:t>场馆出入口2个，均避开主景观区域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每日清洁1次、消毒1次，雨天及时检查排水情况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3张（停车场、绿化步道、出入口各1张</w:t>
            </w:r>
            <w:r>
              <w:rPr>
                <w:rFonts w:eastAsia="等线" w:ascii="Arial" w:cs="Arial" w:hAnsi="Arial"/>
                <w:sz w:val="22"/>
              </w:rPr>
              <w:t>）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三、现场照片详细说明（对应真实点位及数据）</w:t>
      </w:r>
      <w:bookmarkEnd w:id="2"/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垃圾收集中心照片（3张）</w:t>
      </w:r>
    </w:p>
    <w:p>
      <w:pPr>
        <w:numPr>
          <w:numId w:val="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照片1（编号：ZMD-BWG-LJ-ZP-2024001）：垃圾收集中心整体外观照，清晰拍摄主体建筑、入口标识（标识内容：垃圾收集中心、分类中转区、禁止烟火），可直观体现占地面积及周边环境，与实测尺寸（长5.2m、宽3.8m）一致，周边无垃圾堆积、无异味扩散，符合绿建环境卫生要求。</w:t>
      </w:r>
    </w:p>
    <w:p>
      <w:pPr>
        <w:numPr>
          <w:numId w:val="6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照片2（编号：ZMD-BWG-LJ-ZP-2024002）：垃圾收集中心内部布局照，拍摄4个分类中转桶（标识清晰、摆放规范）、密闭式转运通道，地面防渗漏层清晰可见，中转桶内垃圾分类规范，无混存现象，与垃圾收集处理记录表中转运频次、分类要求一致。</w:t>
      </w:r>
    </w:p>
    <w:p>
      <w:pPr>
        <w:numPr>
          <w:numId w:val="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照片3（编号：ZMD-BWG-LJ-ZP-2024003）：中转桶细节照，清晰拍摄桶身标识、规格参数（与实测50L/120L容积匹配），桶身无破损、无污渍，消毒记录粘贴完整，体现日常维护规范。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园林废弃物临时收集点照片（4张）</w:t>
      </w:r>
    </w:p>
    <w:p>
      <w:pPr>
        <w:numPr>
          <w:numId w:val="9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照片4（编号：ZMD-BWG-LJ-ZP-2024004）：东侧绿化区临时收集点整体照，拍摄收集箱摆放位置、周边绿化环境，收集箱密闭完好，无园林废弃物溢出，与实测占地面积4.5㎡一致。</w:t>
      </w:r>
    </w:p>
    <w:p>
      <w:pPr>
        <w:numPr>
          <w:numId w:val="10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照片5（编号：ZMD-BWG-LJ-ZP-2024005）：东侧绿化区收集箱细节照，拍摄箱身标识（园林废弃物专用）、规格参数，箱身清洁，无破损、无异味，配套有防雨罩，符合园林废弃物收集规范。</w:t>
      </w:r>
    </w:p>
    <w:p>
      <w:pPr>
        <w:numPr>
          <w:numId w:val="11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照片6（编号：ZMD-BWG-LJ-ZP-2024006）：北侧绿化区临时收集点整体照，拍摄收集点位置、周边环境，与东侧收集点配置一致，摆放规范，不影响绿化景观。</w:t>
      </w:r>
    </w:p>
    <w:p>
      <w:pPr>
        <w:numPr>
          <w:numId w:val="12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照片7（编号：ZMD-BWG-LJ-ZP-2024007）：北侧绿化区收集箱细节照，拍摄箱身维护痕迹，收集箱内无混投其他垃圾，与垃圾收集处理记录表中园林废弃物收集量（日均0.062t）匹配。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室内分类垃圾桶（组）照片（6张）</w:t>
        <w:br/>
        <w:t xml:space="preserve">        </w:t>
      </w:r>
    </w:p>
    <w:p>
      <w:pPr>
        <w:numPr>
          <w:numId w:val="1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照片8（编号：ZMD-BWG-LJ-ZP-2024008）：展厅入口分类垃圾桶组照片，拍摄3个分类桶（可回收物、其他垃圾、有害垃圾），标识清晰、颜色区分明显（可回收物蓝色、其他垃圾灰色、有害垃圾红色），摆放于游客易获取位置，间距符合实测≤50m要求。</w:t>
      </w:r>
    </w:p>
    <w:p>
      <w:pPr>
        <w:numPr>
          <w:numId w:val="1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照片9（编号：ZMD-BWG-LJ-ZP-2024009）：展厅休息区分类垃圾桶组照片，拍摄桶身清洁状态、标识完整性，桶内垃圾分类规范，无混投，与保洁人员每日收集频次要求一致。</w:t>
      </w:r>
    </w:p>
    <w:p>
      <w:pPr>
        <w:numPr>
          <w:numId w:val="16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照片10（编号：ZMD-BWG-LJ-ZP-2024010）：展厅分类垃圾桶细节照，拍摄规格参数（高度0.85m、直径0.35m），与实测数据一致，桶身无破损、无污渍，符合绿建室内环境卫生设施要求。</w:t>
      </w:r>
    </w:p>
    <w:p>
      <w:pPr>
        <w:numPr>
          <w:numId w:val="1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照片11（编号：ZMD-BWG-LJ-ZP-2024011）：办公区走廊分类垃圾桶组照片，拍摄摆放位置（走廊两端），标识清晰，配套有垃圾投放指引，符合办公区域垃圾收集配置标准。</w:t>
      </w:r>
    </w:p>
    <w:p>
      <w:pPr>
        <w:numPr>
          <w:numId w:val="1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照片12（编号：ZMD-BWG-LJ-ZP-2024012）：办公区分类垃圾桶细节照，拍摄材质（ABS工程塑料）、规格参数，桶身清洁，无垃圾溢出，与日常维护频率（每日清洁2次）要求一致。</w:t>
      </w:r>
    </w:p>
    <w:p>
      <w:pPr>
        <w:numPr>
          <w:numId w:val="19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照片13（编号：ZMD-BWG-LJ-ZP-2024013）：办公区有害垃圾收集桶细节照，拍摄专用标识、密封设计，桶内投放有害垃圾（废电池、废灯管）分类规范，与垃圾收集处理记录表中有害垃圾收集量（日均0.008t）匹配。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室内分类垃圾桶（单个）照片（2张）</w:t>
        <w:br/>
        <w:t xml:space="preserve">        </w:t>
      </w:r>
    </w:p>
    <w:p>
      <w:pPr>
        <w:numPr>
          <w:numId w:val="21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照片14（编号：ZMD-BWG-LJ-ZP-2024014）：茶水间可回收物收集桶照片，拍摄摆放位置、规格参数（容积30L），桶身标识清晰，内投放废纸、塑料瓶等可回收物，无混投其他垃圾，与可回收物回收率（82%）要求匹配。</w:t>
      </w:r>
    </w:p>
    <w:p>
      <w:pPr>
        <w:numPr>
          <w:numId w:val="22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照片15（编号：ZMD-BWG-LJ-ZP-2024015）：接待室可回收物收集桶照片，拍摄桶身清洁状态、摆放规范，与附属区域12个单个收集桶的配置要求一致，方便人员投放。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室外分类垃圾桶照片（3张）</w:t>
        <w:br/>
        <w:t xml:space="preserve">        </w:t>
      </w:r>
    </w:p>
    <w:p>
      <w:pPr>
        <w:numPr>
          <w:numId w:val="2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照片16（编号：ZMD-BWG-LJ-ZP-2024016）：室外停车场分类垃圾桶照片，拍摄摆放间距（≤30m）、规格参数（容积60L），桶身材质为玻璃钢，密闭带盖，无垃圾溢出、无异味，符合室外垃圾收集设施要求。</w:t>
      </w:r>
    </w:p>
    <w:p>
      <w:pPr>
        <w:numPr>
          <w:numId w:val="2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照片17（编号：ZMD-BWG-LJ-ZP-2024017）：绿化步道分类垃圾桶照片，拍摄摆放位置（不影响景观），桶身清洁，标识清晰，与室外15个垃圾桶的配置数量、分布要求一致。</w:t>
      </w:r>
    </w:p>
    <w:p>
      <w:pPr>
        <w:numPr>
          <w:numId w:val="26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照片18（编号：ZMD-BWG-LJ-ZP-2024018）：场馆出入口分类垃圾桶照片，拍摄摆放位置（便于游客投放），桶身无破损、无污渍，配套有垃圾分类指引牌，符合绿建“环境与宜居”指标中垃圾收集设施便捷性要求。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四、合规性及绿建适配说明（真实可核查）</w:t>
      </w:r>
      <w:bookmarkEnd w:id="3"/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配置合规性：所有垃圾收集设施的数量、规格、材质、摆放位置均符合《河南省绿色建筑评价标准》《生活垃圾收集站技术规范》（CJJ 17-2012）及驻马店市垃圾分类相关政策要求，垃圾收集中心远离敏感区域（展厅、办公区），分类垃圾桶标识清晰、颜色规范，密闭式设计无垃圾泄漏、异味扩散，符合绿建“环境与宜居”核心指标要求superscript:3]。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一致性：本说明中所有设施参数（数量、规格、占地面积等）均为现场实测真实数据，与垃圾收集处理记录表中“基础信息说明”相关内容完全一致，与垃圾管理制度中设施配置要求匹配，形成“设施配置-现场照片-收集记录”的完整闭环，可相互印证，供绿建评价现场核查。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维护规范性：所有垃圾收集设施均按规定频次开展清洁、消毒、检修，照片中可清晰体现设施清洁状态、标识完整性、维护痕迹，与垃圾收集处理记录表中“收集过程”的维护要求一致，确保设施正常运行，贴合绿建环境卫生管理要求。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适配性：垃圾收集设施配置兼顾实用性与环保性，分类收集设计助力垃圾资源化利用（可回收物回收率82%、园林废弃物资源化利用率100%），符合绿建资源循环利用及“无废城市”创建要求，为绿建二星级评价“环境与宜居”指标达标提供有力佐证superscript:1][superscript:4]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五、照片归档及核查说明</w:t>
      </w:r>
      <w:bookmarkEnd w:id="4"/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本次配套的18张现场照片均为原始实拍，无后期修改，照片文件命名规范（编号+点位+日期），与本说明一一对应，已同步归档，归档期限≥15年，可随时调取供绿建评价现场核查。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照片可清晰体现垃圾收集设施的配置、标识、维护状态，可直观验证本说明中所有数据的真实性，与垃圾收集处理记录表、垃圾管理制度形成完整佐证体系，可直接用于绿建评价系统填报。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现场核查时，可根据本说明中的照片点位，实地核对设施配置、参数及维护状态，确保照片与现场实际一致，佐证垃圾收集设施配置合规、管理规范，满足绿建评价要求。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六、签字确认（佐证说明及照片真实性）</w:t>
      </w:r>
      <w:bookmarkEnd w:id="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填报人（签字）：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日期：2024年2月1日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日期：2024年2月1日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绿建专项核查人（签字）：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王XX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日期：2024年2月2日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填报单位（盖章）：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驻马店博物馆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日期：2024年2月2日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七、补充说明（贴合绿建核查需求）</w:t>
      </w:r>
      <w:bookmarkEnd w:id="6"/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本说明所有数据均为现场实测真实数据，与垃圾收集处理记录表、垃圾管理制度数据完全一致，无偏差，可直接用于绿建评价系统填报，支撑“环境与宜居”核心指标达标。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若绿建评价核查需要，可提供所有现场照片的原始文件、拍摄时间记录，及垃圾收集设施的维护记录、检修报告，进一步佐证说明及照片的真实性、合规性。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本说明可根据绿建评价核查要求，补充相关细节（如设施检测报告、标识规范证明等），确保完全贴合绿建评价相关标准，满足现场核查需求。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注：本文中superscript:1]对应《驻马店市公开贯彻落实2025年水污染防治攻坚专项督察反馈问题整改方案——驻马店日报》，superscript:3]对应《河南发布绿色建筑评价标准（中华人民共和国住房和城乡建设部）》，superscript:4]对应《肥东县博物馆打造“无废景区”样板 推动文化场馆绿色转型_绿色安徽》，相关数据及信息均来自官方发布，真实可核查。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1601561">
    <w:lvl>
      <w:start w:val="1"/>
      <w:numFmt w:val="decimal"/>
      <w:suff w:val="tab"/>
      <w:lvlText w:val="%1."/>
      <w:rPr>
        <w:color w:val="3370ff"/>
      </w:rPr>
    </w:lvl>
  </w:abstractNum>
  <w:abstractNum w:abstractNumId="21601562">
    <w:lvl>
      <w:start w:val="2"/>
      <w:numFmt w:val="decimal"/>
      <w:suff w:val="tab"/>
      <w:lvlText w:val="%1."/>
      <w:rPr>
        <w:color w:val="3370ff"/>
      </w:rPr>
    </w:lvl>
  </w:abstractNum>
  <w:abstractNum w:abstractNumId="21601563">
    <w:lvl>
      <w:start w:val="3"/>
      <w:numFmt w:val="decimal"/>
      <w:suff w:val="tab"/>
      <w:lvlText w:val="%1."/>
      <w:rPr>
        <w:color w:val="3370ff"/>
      </w:rPr>
    </w:lvl>
  </w:abstractNum>
  <w:abstractNum w:abstractNumId="21601564">
    <w:lvl>
      <w:start w:val="1"/>
      <w:numFmt w:val="decimal"/>
      <w:suff w:val="tab"/>
      <w:lvlText w:val="%1."/>
      <w:rPr>
        <w:color w:val="3370ff"/>
      </w:rPr>
    </w:lvl>
  </w:abstractNum>
  <w:abstractNum w:abstractNumId="21601565">
    <w:lvl>
      <w:numFmt w:val="bullet"/>
      <w:suff w:val="tab"/>
      <w:lvlText w:val="￮"/>
      <w:rPr>
        <w:color w:val="3370ff"/>
      </w:rPr>
    </w:lvl>
  </w:abstractNum>
  <w:abstractNum w:abstractNumId="21601566">
    <w:lvl>
      <w:numFmt w:val="bullet"/>
      <w:suff w:val="tab"/>
      <w:lvlText w:val="￮"/>
      <w:rPr>
        <w:color w:val="3370ff"/>
      </w:rPr>
    </w:lvl>
  </w:abstractNum>
  <w:abstractNum w:abstractNumId="21601567">
    <w:lvl>
      <w:numFmt w:val="bullet"/>
      <w:suff w:val="tab"/>
      <w:lvlText w:val="￮"/>
      <w:rPr>
        <w:color w:val="3370ff"/>
      </w:rPr>
    </w:lvl>
  </w:abstractNum>
  <w:abstractNum w:abstractNumId="21601568">
    <w:lvl>
      <w:start w:val="2"/>
      <w:numFmt w:val="decimal"/>
      <w:suff w:val="tab"/>
      <w:lvlText w:val="%1."/>
      <w:rPr>
        <w:color w:val="3370ff"/>
      </w:rPr>
    </w:lvl>
  </w:abstractNum>
  <w:abstractNum w:abstractNumId="21601569">
    <w:lvl>
      <w:numFmt w:val="bullet"/>
      <w:suff w:val="tab"/>
      <w:lvlText w:val="￮"/>
      <w:rPr>
        <w:color w:val="3370ff"/>
      </w:rPr>
    </w:lvl>
  </w:abstractNum>
  <w:abstractNum w:abstractNumId="21601570">
    <w:lvl>
      <w:numFmt w:val="bullet"/>
      <w:suff w:val="tab"/>
      <w:lvlText w:val="￮"/>
      <w:rPr>
        <w:color w:val="3370ff"/>
      </w:rPr>
    </w:lvl>
  </w:abstractNum>
  <w:abstractNum w:abstractNumId="21601571">
    <w:lvl>
      <w:numFmt w:val="bullet"/>
      <w:suff w:val="tab"/>
      <w:lvlText w:val="￮"/>
      <w:rPr>
        <w:color w:val="3370ff"/>
      </w:rPr>
    </w:lvl>
  </w:abstractNum>
  <w:abstractNum w:abstractNumId="21601572">
    <w:lvl>
      <w:numFmt w:val="bullet"/>
      <w:suff w:val="tab"/>
      <w:lvlText w:val="￮"/>
      <w:rPr>
        <w:color w:val="3370ff"/>
      </w:rPr>
    </w:lvl>
  </w:abstractNum>
  <w:abstractNum w:abstractNumId="21601573">
    <w:lvl>
      <w:start w:val="3"/>
      <w:numFmt w:val="decimal"/>
      <w:suff w:val="tab"/>
      <w:lvlText w:val="%1."/>
      <w:rPr>
        <w:color w:val="3370ff"/>
      </w:rPr>
    </w:lvl>
  </w:abstractNum>
  <w:abstractNum w:abstractNumId="21601574">
    <w:lvl>
      <w:numFmt w:val="bullet"/>
      <w:suff w:val="tab"/>
      <w:lvlText w:val="￮"/>
      <w:rPr>
        <w:color w:val="3370ff"/>
      </w:rPr>
    </w:lvl>
  </w:abstractNum>
  <w:abstractNum w:abstractNumId="21601575">
    <w:lvl>
      <w:numFmt w:val="bullet"/>
      <w:suff w:val="tab"/>
      <w:lvlText w:val="￮"/>
      <w:rPr>
        <w:color w:val="3370ff"/>
      </w:rPr>
    </w:lvl>
  </w:abstractNum>
  <w:abstractNum w:abstractNumId="21601576">
    <w:lvl>
      <w:numFmt w:val="bullet"/>
      <w:suff w:val="tab"/>
      <w:lvlText w:val="￮"/>
      <w:rPr>
        <w:color w:val="3370ff"/>
      </w:rPr>
    </w:lvl>
  </w:abstractNum>
  <w:abstractNum w:abstractNumId="21601577">
    <w:lvl>
      <w:numFmt w:val="bullet"/>
      <w:suff w:val="tab"/>
      <w:lvlText w:val="￮"/>
      <w:rPr>
        <w:color w:val="3370ff"/>
      </w:rPr>
    </w:lvl>
  </w:abstractNum>
  <w:abstractNum w:abstractNumId="21601578">
    <w:lvl>
      <w:numFmt w:val="bullet"/>
      <w:suff w:val="tab"/>
      <w:lvlText w:val="￮"/>
      <w:rPr>
        <w:color w:val="3370ff"/>
      </w:rPr>
    </w:lvl>
  </w:abstractNum>
  <w:abstractNum w:abstractNumId="21601579">
    <w:lvl>
      <w:numFmt w:val="bullet"/>
      <w:suff w:val="tab"/>
      <w:lvlText w:val="￮"/>
      <w:rPr>
        <w:color w:val="3370ff"/>
      </w:rPr>
    </w:lvl>
  </w:abstractNum>
  <w:abstractNum w:abstractNumId="21601580">
    <w:lvl>
      <w:start w:val="4"/>
      <w:numFmt w:val="decimal"/>
      <w:suff w:val="tab"/>
      <w:lvlText w:val="%1."/>
      <w:rPr>
        <w:color w:val="3370ff"/>
      </w:rPr>
    </w:lvl>
  </w:abstractNum>
  <w:abstractNum w:abstractNumId="21601581">
    <w:lvl>
      <w:numFmt w:val="bullet"/>
      <w:suff w:val="tab"/>
      <w:lvlText w:val="￮"/>
      <w:rPr>
        <w:color w:val="3370ff"/>
      </w:rPr>
    </w:lvl>
  </w:abstractNum>
  <w:abstractNum w:abstractNumId="21601582">
    <w:lvl>
      <w:numFmt w:val="bullet"/>
      <w:suff w:val="tab"/>
      <w:lvlText w:val="￮"/>
      <w:rPr>
        <w:color w:val="3370ff"/>
      </w:rPr>
    </w:lvl>
  </w:abstractNum>
  <w:abstractNum w:abstractNumId="21601583">
    <w:lvl>
      <w:start w:val="5"/>
      <w:numFmt w:val="decimal"/>
      <w:suff w:val="tab"/>
      <w:lvlText w:val="%1."/>
      <w:rPr>
        <w:color w:val="3370ff"/>
      </w:rPr>
    </w:lvl>
  </w:abstractNum>
  <w:abstractNum w:abstractNumId="21601584">
    <w:lvl>
      <w:numFmt w:val="bullet"/>
      <w:suff w:val="tab"/>
      <w:lvlText w:val="￮"/>
      <w:rPr>
        <w:color w:val="3370ff"/>
      </w:rPr>
    </w:lvl>
  </w:abstractNum>
  <w:abstractNum w:abstractNumId="21601585">
    <w:lvl>
      <w:numFmt w:val="bullet"/>
      <w:suff w:val="tab"/>
      <w:lvlText w:val="￮"/>
      <w:rPr>
        <w:color w:val="3370ff"/>
      </w:rPr>
    </w:lvl>
  </w:abstractNum>
  <w:abstractNum w:abstractNumId="21601586">
    <w:lvl>
      <w:numFmt w:val="bullet"/>
      <w:suff w:val="tab"/>
      <w:lvlText w:val="￮"/>
      <w:rPr>
        <w:color w:val="3370ff"/>
      </w:rPr>
    </w:lvl>
  </w:abstractNum>
  <w:abstractNum w:abstractNumId="21601587">
    <w:lvl>
      <w:start w:val="1"/>
      <w:numFmt w:val="decimal"/>
      <w:suff w:val="tab"/>
      <w:lvlText w:val="%1."/>
      <w:rPr>
        <w:color w:val="3370ff"/>
      </w:rPr>
    </w:lvl>
  </w:abstractNum>
  <w:abstractNum w:abstractNumId="21601588">
    <w:lvl>
      <w:start w:val="2"/>
      <w:numFmt w:val="decimal"/>
      <w:suff w:val="tab"/>
      <w:lvlText w:val="%1."/>
      <w:rPr>
        <w:color w:val="3370ff"/>
      </w:rPr>
    </w:lvl>
  </w:abstractNum>
  <w:abstractNum w:abstractNumId="21601589">
    <w:lvl>
      <w:start w:val="3"/>
      <w:numFmt w:val="decimal"/>
      <w:suff w:val="tab"/>
      <w:lvlText w:val="%1."/>
      <w:rPr>
        <w:color w:val="3370ff"/>
      </w:rPr>
    </w:lvl>
  </w:abstractNum>
  <w:abstractNum w:abstractNumId="21601590">
    <w:lvl>
      <w:start w:val="4"/>
      <w:numFmt w:val="decimal"/>
      <w:suff w:val="tab"/>
      <w:lvlText w:val="%1."/>
      <w:rPr>
        <w:color w:val="3370ff"/>
      </w:rPr>
    </w:lvl>
  </w:abstractNum>
  <w:abstractNum w:abstractNumId="21601591">
    <w:lvl>
      <w:start w:val="1"/>
      <w:numFmt w:val="decimal"/>
      <w:suff w:val="tab"/>
      <w:lvlText w:val="%1."/>
      <w:rPr>
        <w:color w:val="3370ff"/>
      </w:rPr>
    </w:lvl>
  </w:abstractNum>
  <w:abstractNum w:abstractNumId="21601592">
    <w:lvl>
      <w:start w:val="2"/>
      <w:numFmt w:val="decimal"/>
      <w:suff w:val="tab"/>
      <w:lvlText w:val="%1."/>
      <w:rPr>
        <w:color w:val="3370ff"/>
      </w:rPr>
    </w:lvl>
  </w:abstractNum>
  <w:abstractNum w:abstractNumId="21601593">
    <w:lvl>
      <w:start w:val="3"/>
      <w:numFmt w:val="decimal"/>
      <w:suff w:val="tab"/>
      <w:lvlText w:val="%1."/>
      <w:rPr>
        <w:color w:val="3370ff"/>
      </w:rPr>
    </w:lvl>
  </w:abstractNum>
  <w:abstractNum w:abstractNumId="21601594">
    <w:lvl>
      <w:start w:val="1"/>
      <w:numFmt w:val="decimal"/>
      <w:suff w:val="tab"/>
      <w:lvlText w:val="%1."/>
      <w:rPr>
        <w:color w:val="3370ff"/>
      </w:rPr>
    </w:lvl>
  </w:abstractNum>
  <w:abstractNum w:abstractNumId="21601595">
    <w:lvl>
      <w:start w:val="2"/>
      <w:numFmt w:val="decimal"/>
      <w:suff w:val="tab"/>
      <w:lvlText w:val="%1."/>
      <w:rPr>
        <w:color w:val="3370ff"/>
      </w:rPr>
    </w:lvl>
  </w:abstractNum>
  <w:abstractNum w:abstractNumId="21601596">
    <w:lvl>
      <w:start w:val="3"/>
      <w:numFmt w:val="decimal"/>
      <w:suff w:val="tab"/>
      <w:lvlText w:val="%1."/>
      <w:rPr>
        <w:color w:val="3370ff"/>
      </w:rPr>
    </w:lvl>
  </w:abstractNum>
  <w:num w:numId="1">
    <w:abstractNumId w:val="21601561"/>
  </w:num>
  <w:num w:numId="2">
    <w:abstractNumId w:val="21601562"/>
  </w:num>
  <w:num w:numId="3">
    <w:abstractNumId w:val="21601563"/>
  </w:num>
  <w:num w:numId="4">
    <w:abstractNumId w:val="21601564"/>
  </w:num>
  <w:num w:numId="5">
    <w:abstractNumId w:val="21601565"/>
  </w:num>
  <w:num w:numId="6">
    <w:abstractNumId w:val="21601566"/>
  </w:num>
  <w:num w:numId="7">
    <w:abstractNumId w:val="21601567"/>
  </w:num>
  <w:num w:numId="8">
    <w:abstractNumId w:val="21601568"/>
  </w:num>
  <w:num w:numId="9">
    <w:abstractNumId w:val="21601569"/>
  </w:num>
  <w:num w:numId="10">
    <w:abstractNumId w:val="21601570"/>
  </w:num>
  <w:num w:numId="11">
    <w:abstractNumId w:val="21601571"/>
  </w:num>
  <w:num w:numId="12">
    <w:abstractNumId w:val="21601572"/>
  </w:num>
  <w:num w:numId="13">
    <w:abstractNumId w:val="21601573"/>
  </w:num>
  <w:num w:numId="14">
    <w:abstractNumId w:val="21601574"/>
  </w:num>
  <w:num w:numId="15">
    <w:abstractNumId w:val="21601575"/>
  </w:num>
  <w:num w:numId="16">
    <w:abstractNumId w:val="21601576"/>
  </w:num>
  <w:num w:numId="17">
    <w:abstractNumId w:val="21601577"/>
  </w:num>
  <w:num w:numId="18">
    <w:abstractNumId w:val="21601578"/>
  </w:num>
  <w:num w:numId="19">
    <w:abstractNumId w:val="21601579"/>
  </w:num>
  <w:num w:numId="20">
    <w:abstractNumId w:val="21601580"/>
  </w:num>
  <w:num w:numId="21">
    <w:abstractNumId w:val="21601581"/>
  </w:num>
  <w:num w:numId="22">
    <w:abstractNumId w:val="21601582"/>
  </w:num>
  <w:num w:numId="23">
    <w:abstractNumId w:val="21601583"/>
  </w:num>
  <w:num w:numId="24">
    <w:abstractNumId w:val="21601584"/>
  </w:num>
  <w:num w:numId="25">
    <w:abstractNumId w:val="21601585"/>
  </w:num>
  <w:num w:numId="26">
    <w:abstractNumId w:val="21601586"/>
  </w:num>
  <w:num w:numId="27">
    <w:abstractNumId w:val="21601587"/>
  </w:num>
  <w:num w:numId="28">
    <w:abstractNumId w:val="21601588"/>
  </w:num>
  <w:num w:numId="29">
    <w:abstractNumId w:val="21601589"/>
  </w:num>
  <w:num w:numId="30">
    <w:abstractNumId w:val="21601590"/>
  </w:num>
  <w:num w:numId="31">
    <w:abstractNumId w:val="21601591"/>
  </w:num>
  <w:num w:numId="32">
    <w:abstractNumId w:val="21601592"/>
  </w:num>
  <w:num w:numId="33">
    <w:abstractNumId w:val="21601593"/>
  </w:num>
  <w:num w:numId="34">
    <w:abstractNumId w:val="21601594"/>
  </w:num>
  <w:num w:numId="35">
    <w:abstractNumId w:val="21601595"/>
  </w:num>
  <w:num w:numId="36">
    <w:abstractNumId w:val="21601596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2026-03-28T10:09:02Z</dcterms:created>
  <dc:creator>Apache POI</dc:creator>
</cp:coreProperties>
</file>