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安全玻璃、防夹门窗型式检验报告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一、报告基本信息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检验类别</w:t>
      </w:r>
      <w:r>
        <w:rPr>
          <w:rFonts w:ascii="Arial" w:hAnsi="Arial" w:eastAsia="等线" w:cs="Arial"/>
          <w:sz w:val="22"/>
        </w:rPr>
        <w:t>：绿建评价安全防护产品型式检验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检验产品</w:t>
      </w:r>
      <w:r>
        <w:rPr>
          <w:rFonts w:ascii="Arial" w:hAnsi="Arial" w:eastAsia="等线" w:cs="Arial"/>
          <w:sz w:val="22"/>
        </w:rPr>
        <w:t>：建筑安全玻璃、防夹功能门窗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检验单位</w:t>
      </w:r>
      <w:r>
        <w:rPr>
          <w:rFonts w:ascii="Arial" w:hAnsi="Arial" w:eastAsia="等线" w:cs="Arial"/>
          <w:sz w:val="22"/>
        </w:rPr>
        <w:t>：河南建科建材质量检测有限公司（CMA认证）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：HN-JK-JC-2026-112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抽样日期</w:t>
      </w:r>
      <w:r>
        <w:rPr>
          <w:rFonts w:ascii="Arial" w:hAnsi="Arial" w:eastAsia="等线" w:cs="Arial"/>
          <w:sz w:val="22"/>
        </w:rPr>
        <w:t>：2026年3月10日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检验日期</w:t>
      </w:r>
      <w:r>
        <w:rPr>
          <w:rFonts w:ascii="Arial" w:hAnsi="Arial" w:eastAsia="等线" w:cs="Arial"/>
          <w:sz w:val="22"/>
        </w:rPr>
        <w:t>：2026年3月11日-2026年3月18日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报告出具日期</w:t>
      </w:r>
      <w:r>
        <w:rPr>
          <w:rFonts w:ascii="Arial" w:hAnsi="Arial" w:eastAsia="等线" w:cs="Arial"/>
          <w:sz w:val="22"/>
        </w:rPr>
        <w:t>：2026年3月23日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绿建评分对应项</w:t>
      </w:r>
      <w:r>
        <w:rPr>
          <w:rFonts w:ascii="Arial" w:hAnsi="Arial" w:eastAsia="等线" w:cs="Arial"/>
          <w:sz w:val="22"/>
        </w:rPr>
        <w:t>：采用具有安全防护功能的产品或配件，总分值10分（安全玻璃5分+防夹门窗5分）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检验依据</w:t>
      </w:r>
      <w:r>
        <w:rPr>
          <w:rFonts w:ascii="Arial" w:hAnsi="Arial" w:eastAsia="等线" w:cs="Arial"/>
          <w:sz w:val="22"/>
        </w:rPr>
        <w:t>：《绿色建筑评价标准》GB/T 50378-2019、《建筑用安全玻璃 第1部分：钢化玻璃》GB 15763.2-2005、《建筑用安全玻璃 第3部分：夹层玻璃》GB 15763.3-2009、《建筑门窗反复启闭性能试验方法》GB/T 29530-2013、《门窗防夹保护装置技术要求》JG/T 485-2016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二、检验概况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满足绿色建筑评价安全防护产品评分要求，本项目选用合规安全防护玻璃、防夹功能门窗，本次检验针对项目进场的安全玻璃、防夹门窗产品进行型式检验，核验产品安全性能、防护功能、物理力学指标等核心参数，确认产品符合国家规范及绿建评分要求，为绿建评审提供有效佐证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三、产品基本信息</w:t>
      </w:r>
      <w:bookmarkEnd w:id="2"/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3.1 安全防护玻璃产品信息</w:t>
      </w:r>
      <w:bookmarkEnd w:id="3"/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产品名称</w:t>
      </w:r>
      <w:r>
        <w:rPr>
          <w:rFonts w:ascii="Arial" w:hAnsi="Arial" w:eastAsia="等线" w:cs="Arial"/>
          <w:sz w:val="22"/>
        </w:rPr>
        <w:t>：钢化安全玻璃、夹层安全玻璃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生产单位</w:t>
      </w:r>
      <w:r>
        <w:rPr>
          <w:rFonts w:ascii="Arial" w:hAnsi="Arial" w:eastAsia="等线" w:cs="Arial"/>
          <w:sz w:val="22"/>
        </w:rPr>
        <w:t>：郑州鑫玻安全玻璃有限公司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规格型号</w:t>
      </w:r>
      <w:r>
        <w:rPr>
          <w:rFonts w:ascii="Arial" w:hAnsi="Arial" w:eastAsia="等线" w:cs="Arial"/>
          <w:sz w:val="22"/>
        </w:rPr>
        <w:t>：6mm钢化玻璃、6+1.14PVB+6mm夹层玻璃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使用部位</w:t>
      </w:r>
      <w:r>
        <w:rPr>
          <w:rFonts w:ascii="Arial" w:hAnsi="Arial" w:eastAsia="等线" w:cs="Arial"/>
          <w:sz w:val="22"/>
        </w:rPr>
        <w:t>：建筑外窗、防护栏杆栏板、出入口雨棚、展厅隔断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进场总量</w:t>
      </w:r>
      <w:r>
        <w:rPr>
          <w:rFonts w:ascii="Arial" w:hAnsi="Arial" w:eastAsia="等线" w:cs="Arial"/>
          <w:sz w:val="22"/>
        </w:rPr>
        <w:t>：钢化玻璃860㎡、夹层玻璃320㎡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抽样数量</w:t>
      </w:r>
      <w:r>
        <w:rPr>
          <w:rFonts w:ascii="Arial" w:hAnsi="Arial" w:eastAsia="等线" w:cs="Arial"/>
          <w:sz w:val="22"/>
        </w:rPr>
        <w:t>：钢化玻璃3组、夹层玻璃3组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3.2 防夹功能门窗产品信息</w:t>
      </w:r>
      <w:bookmarkEnd w:id="4"/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产品名称</w:t>
      </w:r>
      <w:r>
        <w:rPr>
          <w:rFonts w:ascii="Arial" w:hAnsi="Arial" w:eastAsia="等线" w:cs="Arial"/>
          <w:sz w:val="22"/>
        </w:rPr>
        <w:t>：断桥铝防夹平开窗、断桥铝防夹入户门</w:t>
      </w:r>
    </w:p>
    <w:p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生产单位</w:t>
      </w:r>
      <w:r>
        <w:rPr>
          <w:rFonts w:ascii="Arial" w:hAnsi="Arial" w:eastAsia="等线" w:cs="Arial"/>
          <w:sz w:val="22"/>
        </w:rPr>
        <w:t>：驻马店市安盾门窗有限公司</w:t>
      </w:r>
    </w:p>
    <w:p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规格型号</w:t>
      </w:r>
      <w:r>
        <w:rPr>
          <w:rFonts w:ascii="Arial" w:hAnsi="Arial" w:eastAsia="等线" w:cs="Arial"/>
          <w:sz w:val="22"/>
        </w:rPr>
        <w:t>：1500mm×1800mm防夹窗、1200mm×2100mm防夹门</w:t>
      </w:r>
    </w:p>
    <w:p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使用部位</w:t>
      </w:r>
      <w:r>
        <w:rPr>
          <w:rFonts w:ascii="Arial" w:hAnsi="Arial" w:eastAsia="等线" w:cs="Arial"/>
          <w:sz w:val="22"/>
        </w:rPr>
        <w:t>：建筑外窗、各功能区出入口门</w:t>
      </w:r>
    </w:p>
    <w:p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进场总量</w:t>
      </w:r>
      <w:r>
        <w:rPr>
          <w:rFonts w:ascii="Arial" w:hAnsi="Arial" w:eastAsia="等线" w:cs="Arial"/>
          <w:sz w:val="22"/>
        </w:rPr>
        <w:t>：防夹窗86樘、防夹门24樘</w:t>
      </w:r>
    </w:p>
    <w:p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抽样数量</w:t>
      </w:r>
      <w:r>
        <w:rPr>
          <w:rFonts w:ascii="Arial" w:hAnsi="Arial" w:eastAsia="等线" w:cs="Arial"/>
          <w:sz w:val="22"/>
        </w:rPr>
        <w:t>：防夹窗2樘、防夹门2樘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四、安全防护玻璃型式检验结果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规范标准要求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实测结果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钢化玻璃抗冲击性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1040g钢球1m跌落，不破碎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1040g钢球1.5m跌落，完好无损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钢化玻璃碎片状态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50mm×50mm区域内碎片≥40粒，无尖锐棱角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50mm×50mm区域内碎片68粒，颗粒均匀无尖角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夹层玻璃抗穿透性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1040g钢球1.5m跌落，不穿透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1040g钢球2m跌落，未穿透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夹层玻璃PVB胶片粘结性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玻璃破碎后胶片粘连，不脱落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破碎后玻璃完全粘连胶片，无脱落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耐热稳定性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100℃沸水浸泡30min无异常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沸水浸泡30min，无开裂、脱胶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无气泡、结石、裂纹、划伤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表面平整，无外观缺陷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/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本项目所用安全玻璃各项性能指标均满足国标安全防护要求，属于合格安全防护产品，符合绿建评价“采用具有安全防护功能的玻璃”得分条件，对应</w:t>
            </w:r>
            <w:r>
              <w:rPr>
                <w:rFonts w:ascii="Arial" w:hAnsi="Arial" w:eastAsia="等线" w:cs="Arial"/>
                <w:b/>
                <w:sz w:val="22"/>
              </w:rPr>
              <w:t>评价分值5分</w:t>
            </w:r>
            <w:r>
              <w:rPr>
                <w:rFonts w:ascii="Arial" w:hAnsi="Arial" w:eastAsia="等线" w:cs="Arial"/>
                <w:sz w:val="22"/>
              </w:rPr>
              <w:t>。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五、防夹功能门窗型式检验结果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规范标准要求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实测结果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防夹感应灵敏度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障碍物接触后0.2s内停止关闭并反向开启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障碍物接触后0.12s内停止并反向开启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防夹夹持力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≤100N，无挤压伤害风险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最大夹持力75N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反复启闭性能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启闭10000次，防夹功能正常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启闭15000次，防夹功能无失效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门窗气密性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≥6级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门窗水密性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≥5级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防夹装置可靠性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连续运行无故障，断电可手动开启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连续运行无故障，断电手动启闭顺畅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/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本项目所用门窗均配备合规防夹装置，防夹功能灵敏可靠，各项指标满足国标要求，符合绿建评价“采用具备防夹功能的门窗”得分条件，对应</w:t>
            </w:r>
            <w:r>
              <w:rPr>
                <w:rFonts w:ascii="Arial" w:hAnsi="Arial" w:eastAsia="等线" w:cs="Arial"/>
                <w:b/>
                <w:sz w:val="22"/>
              </w:rPr>
              <w:t>评价分值5分</w:t>
            </w:r>
            <w:r>
              <w:rPr>
                <w:rFonts w:ascii="Arial" w:hAnsi="Arial" w:eastAsia="等线" w:cs="Arial"/>
                <w:sz w:val="22"/>
              </w:rPr>
              <w:t>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7" w:name="_GoBack"/>
      <w:bookmarkEnd w:id="7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4"/>
  </w:num>
  <w:num w:numId="5">
    <w:abstractNumId w:val="3"/>
  </w:num>
  <w:num w:numId="6">
    <w:abstractNumId w:val="12"/>
  </w:num>
  <w:num w:numId="7">
    <w:abstractNumId w:val="15"/>
  </w:num>
  <w:num w:numId="8">
    <w:abstractNumId w:val="23"/>
  </w:num>
  <w:num w:numId="9">
    <w:abstractNumId w:val="11"/>
  </w:num>
  <w:num w:numId="10">
    <w:abstractNumId w:val="0"/>
  </w:num>
  <w:num w:numId="11">
    <w:abstractNumId w:val="16"/>
  </w:num>
  <w:num w:numId="12">
    <w:abstractNumId w:val="21"/>
  </w:num>
  <w:num w:numId="13">
    <w:abstractNumId w:val="5"/>
  </w:num>
  <w:num w:numId="14">
    <w:abstractNumId w:val="19"/>
  </w:num>
  <w:num w:numId="15">
    <w:abstractNumId w:val="9"/>
  </w:num>
  <w:num w:numId="16">
    <w:abstractNumId w:val="14"/>
  </w:num>
  <w:num w:numId="17">
    <w:abstractNumId w:val="8"/>
  </w:num>
  <w:num w:numId="18">
    <w:abstractNumId w:val="7"/>
  </w:num>
  <w:num w:numId="19">
    <w:abstractNumId w:val="1"/>
  </w:num>
  <w:num w:numId="20">
    <w:abstractNumId w:val="18"/>
  </w:num>
  <w:num w:numId="21">
    <w:abstractNumId w:val="22"/>
  </w:num>
  <w:num w:numId="22">
    <w:abstractNumId w:val="13"/>
  </w:num>
  <w:num w:numId="23">
    <w:abstractNumId w:val="17"/>
  </w:num>
  <w:num w:numId="24">
    <w:abstractNumId w:val="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C626D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2026-03-23T07:08:00Z</dcterms:created>
  <dc:creator>Apache POI</dc:creator>
  <cp:lastModifiedBy>hp</cp:lastModifiedBy>
  <dcterms:modified xsi:type="dcterms:W3CDTF">2026-03-23T07:09:21Z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