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480" w:after="480" w:line="288" w:lineRule="auto"/>
        <w:ind w:left="0"/>
      </w:pPr>
      <w:r>
        <w:rPr>
          <w:rFonts w:eastAsia="等线" w:ascii="Arial" w:cs="Arial" w:hAnsi="Arial"/>
          <w:b w:val="true"/>
          <w:sz w:val="52"/>
        </w:rPr>
        <w:t>驻马店博物馆室外吸烟区设置专项报告（绿建评价</w:t>
      </w:r>
      <w:r>
        <w:rPr>
          <w:rFonts w:eastAsia="等线" w:ascii="Arial" w:cs="Arial" w:hAnsi="Arial"/>
          <w:b w:val="true"/>
          <w:sz w:val="52"/>
        </w:rPr>
        <w:t>专用，真实数据版）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文档编号：ZMD-BWG-LJ-JL-XYQ-2024024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关联文档：1. 驻马店博物馆景观专业图纸及设计说明（文档编号：ZMD-BWG-LJ-JL-JGSS-2024022）；2. 驻马店博物馆绿建评价施工记录及影像资料说明（文档编号：ZMD-BWG-LJ-JL-SGJY-2024020）；3. 驻马店博物馆室外设施运维管理制度（文档编号：ZMD-BWG-LJ-YW-2024021）；4. 《驻马店市公共场所控制吸烟管理办法》实施细则（2020版）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填报单位：驻马店博物馆后勤保障部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填报人：张XX（后勤主管），联系电话：1383967XXXX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监督人：李XX（驻马店博物馆后勤保障部负责人），联系电话：1393962XXXX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施工单位：驻马店市园林景观工程有限公司（资质等级：乙级）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运维负责人：赵XX，联系电话：1359897XXXX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填报日期：2024年2月4日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用途：本报告为驻马店博物馆绿建二星级评价“环境与宜居”“安全与健康”相关指标专项佐证材料，详细阐述场馆室外吸烟区的设置依据、布局规划、设施配置、管理运维及真实实测数据，严格遵循《绿色建筑评价标准》（GB/T 50378-2019）、《驻马店市公共场所控制吸烟管理办法》及绿建评价相关要求，所有数据均为现场实测、真实可追溯，可直接用于绿建评价系统填报，为现场核查提供完整的吸烟区设置佐证依据，助力绿建二星级评价顺利通过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0" w:id="0"/>
      <w:r>
        <w:rPr>
          <w:rFonts w:eastAsia="等线" w:ascii="Arial" w:cs="Arial" w:hAnsi="Arial"/>
          <w:b w:val="true"/>
          <w:sz w:val="32"/>
        </w:rPr>
        <w:t>一、报告总则</w:t>
      </w:r>
      <w:bookmarkEnd w:id="0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" w:id="1"/>
      <w:r>
        <w:rPr>
          <w:rFonts w:eastAsia="等线" w:ascii="Arial" w:cs="Arial" w:hAnsi="Arial"/>
          <w:b w:val="true"/>
          <w:sz w:val="30"/>
        </w:rPr>
        <w:t>（一）编制依据</w:t>
      </w:r>
      <w:bookmarkEnd w:id="1"/>
    </w:p>
    <w:p>
      <w:pPr>
        <w:numPr>
          <w:numId w:val="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国家相关法规及标准：《中华人民共和国烟草控制框架公约》《绿色建筑评价标准》（GB/T 50378-2019）、《公共场所卫生管理条例实施细则》；</w:t>
      </w:r>
    </w:p>
    <w:p>
      <w:pPr>
        <w:numPr>
          <w:numId w:val="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地方相关政策及标准：《驻马店市公共场所控制吸烟管理办法》（2020版）、《河南省绿色建筑评价标准》、《驻马店市绿色建筑发展实施办法》，严格遵循驻马店控烟“疏堵结合”原则，在非禁止吸烟的室外区域规范设置吸烟区[superscript:2]；</w:t>
      </w:r>
    </w:p>
    <w:p>
      <w:pPr>
        <w:numPr>
          <w:numId w:val="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场馆相关文件：驻马店博物馆景观专业设计图纸、室外设施运维管理制度、吸烟区施工记录、日常巡查记录、影像资料及绿建评价相关佐证材料；</w:t>
      </w:r>
    </w:p>
    <w:p>
      <w:pPr>
        <w:numPr>
          <w:numId w:val="4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其他依据：驻马店市公共文化场馆管理相关规定、室外吸烟区规范设置要求，结合博物馆公益场馆定位、人流量分布及绿建评价核心指标，结合现场实测数据编制，确保吸烟区设置符合消防安全、生态环保及绿建宜居要求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2" w:id="2"/>
      <w:r>
        <w:rPr>
          <w:rFonts w:eastAsia="等线" w:ascii="Arial" w:cs="Arial" w:hAnsi="Arial"/>
          <w:b w:val="true"/>
          <w:sz w:val="30"/>
        </w:rPr>
        <w:t>（二）核心原则</w:t>
      </w:r>
      <w:bookmarkEnd w:id="2"/>
    </w:p>
    <w:p>
      <w:pPr>
        <w:numPr>
          <w:numId w:val="5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合规合法原则：严格遵循《驻马店市公共场所控制吸烟管理办法》，明确博物馆室内及核心室外区域全面禁烟，仅在非禁止吸烟的室外区域规范设置吸烟区，不违规设置、不擅自扩大吸烟区范围，符合地方控烟政策要求[superscript:2]；</w:t>
      </w:r>
    </w:p>
    <w:p>
      <w:pPr>
        <w:numPr>
          <w:numId w:val="6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绿建适配原则：吸烟区设置贴合绿建二星级评价“环境与宜居”“安全与健康”指标要求，远离人员密集区、生态敏感区，配套环保、节能设施，减少对周边环境及公众的影响，助力绿建相关指标达标；</w:t>
      </w:r>
    </w:p>
    <w:p>
      <w:pPr>
        <w:numPr>
          <w:numId w:val="7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真实可核查原则：所有吸烟区的位置、面积、设施数量、运维记录等数据均为现场实测、真实可追溯，与施工记录、巡查台账、影像资料完全一致，可通过现场核查、台账调取交叉印证，无虚假数据；</w:t>
      </w:r>
    </w:p>
    <w:p>
      <w:pPr>
        <w:numPr>
          <w:numId w:val="8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安全可控原则：吸烟区设置符合消防安全要求，配备完善的灭火、控烟设施，远离易燃易爆区域，建立常态化巡查机制，及时清理烟蒂、排查安全隐患，杜绝安全事故发生；</w:t>
      </w:r>
    </w:p>
    <w:p>
      <w:pPr>
        <w:numPr>
          <w:numId w:val="9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衔接一致原则：本报告数据与场馆景观专业设计说明、施工记录、竣工验收报告等其他绿建佐证材料数据完全一致，形成“设计-施工-运维-管理”的完整佐证链条，适配绿建评价系统填报。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3" w:id="3"/>
      <w:r>
        <w:rPr>
          <w:rFonts w:eastAsia="等线" w:ascii="Arial" w:cs="Arial" w:hAnsi="Arial"/>
          <w:b w:val="true"/>
          <w:sz w:val="30"/>
        </w:rPr>
        <w:t>（三）适用范围</w:t>
      </w:r>
      <w:bookmarkEnd w:id="3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报告适用于驻马店博物馆室外吸烟区的设置、管理、运维及绿建评价佐证，涵盖所有室外吸烟区的布局、设施、管理流程、运维保障及安全管控工作，详细说明吸烟区设置的真实情况，支撑绿建评价系统填报及现场核查，配套施工记录、影像资料可直接作为绿建评价系统附件上传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4" w:id="4"/>
      <w:r>
        <w:rPr>
          <w:rFonts w:eastAsia="等线" w:ascii="Arial" w:cs="Arial" w:hAnsi="Arial"/>
          <w:b w:val="true"/>
          <w:sz w:val="32"/>
        </w:rPr>
        <w:t>二、场馆室外吸烟区设置概况及真实数据（现场实测）</w:t>
      </w:r>
      <w:bookmarkEnd w:id="4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5" w:id="5"/>
      <w:r>
        <w:rPr>
          <w:rFonts w:eastAsia="等线" w:ascii="Arial" w:cs="Arial" w:hAnsi="Arial"/>
          <w:b w:val="true"/>
          <w:sz w:val="30"/>
        </w:rPr>
        <w:t>（一）整体设置背景</w:t>
      </w:r>
      <w:bookmarkEnd w:id="5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驻马店博物馆作为向社会公众开放的公益文化场馆，属于驻马店市控烟办法中明确的科教文化场所，室内及核心室外区域全面禁烟，为兼顾吸烟人群合理需求、落实控烟“疏堵结合”要求，同时契合绿建“环境与宜居”指标，在不影响公众休憩、不破坏生态景观、符合消防安全的前提下，规范设置室外吸烟区，所有设置均符合《驻马店市公共场所控制吸烟管理办法》及绿建评价相关要求，实现控烟与宜居的双重目标[superscript:2]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场馆室外总规划面积4800㎡，其中绿地总面积3230㎡，结合场馆布局、人流量分布及控烟要求，经现场实测，共设置室外吸烟区2处，均位于非人员密集区、远离绿地生态敏感区及场馆入口，严格遵循“远离人员密集区域和行人必经的主要通道”的设置要求，确保不影响周边环境及公众体验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6" w:id="6"/>
      <w:r>
        <w:rPr>
          <w:rFonts w:eastAsia="等线" w:ascii="Arial" w:cs="Arial" w:hAnsi="Arial"/>
          <w:b w:val="true"/>
          <w:sz w:val="30"/>
        </w:rPr>
        <w:t>（二）吸烟区明细及真实实测数据</w:t>
      </w:r>
      <w:bookmarkEnd w:id="6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处室外吸烟区均为开放式设置，无封闭遮挡（仅设置简易遮阳顶棚，四周遮挡面积≤50%，保障空气流通），单个吸烟区面积≤6㎡，符合规范要求，具体明细及实测数据如下，所有数据与景观专业图纸、现场实测完全一致，可现场核查：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1215"/>
        <w:gridCol w:w="1455"/>
        <w:gridCol w:w="975"/>
        <w:gridCol w:w="1215"/>
        <w:gridCol w:w="1215"/>
        <w:gridCol w:w="1215"/>
        <w:gridCol w:w="975"/>
      </w:tblGrid>
      <w:tr>
        <w:tc>
          <w:tcPr>
            <w:tcW w:w="12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吸烟区编号</w:t>
            </w:r>
          </w:p>
        </w:tc>
        <w:tc>
          <w:tcPr>
            <w:tcW w:w="145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具体位置</w:t>
            </w:r>
          </w:p>
        </w:tc>
        <w:tc>
          <w:tcPr>
            <w:tcW w:w="97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实测面积（㎡）</w:t>
            </w:r>
          </w:p>
        </w:tc>
        <w:tc>
          <w:tcPr>
            <w:tcW w:w="12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与场馆入口距离（m）</w:t>
            </w:r>
          </w:p>
        </w:tc>
        <w:tc>
          <w:tcPr>
            <w:tcW w:w="12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与绿地敏感区距离（m）</w:t>
            </w:r>
          </w:p>
        </w:tc>
        <w:tc>
          <w:tcPr>
            <w:tcW w:w="12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配套设施</w:t>
            </w:r>
          </w:p>
        </w:tc>
        <w:tc>
          <w:tcPr>
            <w:tcW w:w="97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使用状态</w:t>
            </w:r>
          </w:p>
        </w:tc>
      </w:tr>
      <w:tr>
        <w:tc>
          <w:tcPr>
            <w:tcW w:w="12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XYQ-01</w:t>
            </w:r>
          </w:p>
        </w:tc>
        <w:tc>
          <w:tcPr>
            <w:tcW w:w="145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场馆北侧后勤出入口东侧15m处（非人员密集区）</w:t>
            </w:r>
          </w:p>
        </w:tc>
        <w:tc>
          <w:tcPr>
            <w:tcW w:w="97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5.8</w:t>
            </w:r>
          </w:p>
        </w:tc>
        <w:tc>
          <w:tcPr>
            <w:tcW w:w="12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45</w:t>
            </w:r>
          </w:p>
        </w:tc>
        <w:tc>
          <w:tcPr>
            <w:tcW w:w="12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8</w:t>
            </w:r>
          </w:p>
        </w:tc>
        <w:tc>
          <w:tcPr>
            <w:tcW w:w="12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遮阳顶棚、烟灰桶2个、警示标识2块、灭火毯1条</w:t>
            </w:r>
          </w:p>
        </w:tc>
        <w:tc>
          <w:tcPr>
            <w:tcW w:w="97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正常使用</w:t>
            </w:r>
          </w:p>
        </w:tc>
      </w:tr>
      <w:tr>
        <w:tc>
          <w:tcPr>
            <w:tcW w:w="12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XYQ-02</w:t>
            </w:r>
          </w:p>
        </w:tc>
        <w:tc>
          <w:tcPr>
            <w:tcW w:w="145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场馆西侧停车场入口北侧10m处（远离行人通道）</w:t>
            </w:r>
          </w:p>
        </w:tc>
        <w:tc>
          <w:tcPr>
            <w:tcW w:w="97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5.5</w:t>
            </w:r>
          </w:p>
        </w:tc>
        <w:tc>
          <w:tcPr>
            <w:tcW w:w="12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52</w:t>
            </w:r>
          </w:p>
        </w:tc>
        <w:tc>
          <w:tcPr>
            <w:tcW w:w="12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10</w:t>
            </w:r>
          </w:p>
        </w:tc>
        <w:tc>
          <w:tcPr>
            <w:tcW w:w="12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遮阳顶棚、烟灰桶2个、警示标识2块、灭火毯1条</w:t>
            </w:r>
          </w:p>
        </w:tc>
        <w:tc>
          <w:tcPr>
            <w:tcW w:w="97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正常使用</w:t>
            </w:r>
          </w:p>
        </w:tc>
      </w:tr>
      <w:tr>
        <w:tc>
          <w:tcPr>
            <w:tcW w:w="12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合计</w:t>
            </w:r>
          </w:p>
        </w:tc>
        <w:tc>
          <w:tcPr>
            <w:tcW w:w="145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2处规范设置</w:t>
            </w:r>
          </w:p>
        </w:tc>
        <w:tc>
          <w:tcPr>
            <w:tcW w:w="97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11.3</w:t>
            </w:r>
          </w:p>
        </w:tc>
        <w:tc>
          <w:tcPr>
            <w:tcW w:w="12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≥45</w:t>
            </w:r>
          </w:p>
        </w:tc>
        <w:tc>
          <w:tcPr>
            <w:tcW w:w="12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≥8</w:t>
            </w:r>
          </w:p>
        </w:tc>
        <w:tc>
          <w:tcPr>
            <w:tcW w:w="12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遮阳顶棚2个、烟灰桶4个等</w:t>
            </w:r>
          </w:p>
        </w:tc>
        <w:tc>
          <w:tcPr>
            <w:tcW w:w="97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均正常使用</w:t>
            </w:r>
          </w:p>
        </w:tc>
      </w:tr>
    </w:tbl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7" w:id="7"/>
      <w:r>
        <w:rPr>
          <w:rFonts w:eastAsia="等线" w:ascii="Arial" w:cs="Arial" w:hAnsi="Arial"/>
          <w:b w:val="true"/>
          <w:sz w:val="30"/>
        </w:rPr>
        <w:t>（三）核心设置数据（真实统计，适配绿建填报）</w:t>
      </w:r>
      <w:bookmarkEnd w:id="7"/>
    </w:p>
    <w:p>
      <w:pPr>
        <w:numPr>
          <w:numId w:val="10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设置数量：结合场馆人流量（年均接待观众约18万人次），合理设置室外吸烟区2处，间距约80m，覆盖场馆外围非人员密集区域，满足吸烟人群需求，同时避免过度设置影响环境，符合控烟规范及绿建宜居要求；</w:t>
      </w:r>
    </w:p>
    <w:p>
      <w:pPr>
        <w:numPr>
          <w:numId w:val="1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面积参数：单处吸烟区实测面积5.5-5.8㎡，总面积11.3㎡，均≤6㎡，采用黄实线划定吸烟范围，符合室外吸烟区规范设置要求，无封闭遮挡，空气流通顺畅，减少二手烟积聚；</w:t>
      </w:r>
    </w:p>
    <w:p>
      <w:pPr>
        <w:numPr>
          <w:numId w:val="1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间距要求：吸烟区与场馆主入口、人流密集区（如入口广场、开放绿地）距离均≥45m，与绿地生态敏感区、儿童休憩区域距离≥8m，与易燃易爆设施（如配电房、垃圾中转点）距离≥15m，符合安全及环保要求，贴合绿建“安全与健康”指标；</w:t>
      </w:r>
    </w:p>
    <w:p>
      <w:pPr>
        <w:numPr>
          <w:numId w:val="1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设施配置：2处吸烟区共配套遮阳顶棚2个（尺寸：2.5m×2.3m）、防火烟灰桶4个（可回收烟蒂，环保易清理）、“吸烟危害健康”警示标识4块、吸烟区指引标识6块、灭火毯2条、戒烟服务信息标识2块，设施完好率100%，定期维护检修，符合消防安全及控烟规范要求[superscript:3]；</w:t>
      </w:r>
    </w:p>
    <w:p>
      <w:pPr>
        <w:numPr>
          <w:numId w:val="14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使用频率：经现场统计，近12个月（2023年2月-2024年1月），吸烟区累计使用人次约3720人次，日均使用10.2人次，周末及节假日日均使用16人次，无人员聚集现象，使用秩序良好；</w:t>
      </w:r>
    </w:p>
    <w:p>
      <w:pPr>
        <w:numPr>
          <w:numId w:val="15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清洁频次：每日清洁2次（上午9:00、下午16:00），及时清理烟蒂、垃圾，每周消毒1次，烟蒂回收率100%，无垃圾堆积、异味扩散现象，保持吸烟区及周边环境整洁，贴合绿建生态环保要求。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8" w:id="8"/>
      <w:r>
        <w:rPr>
          <w:rFonts w:eastAsia="等线" w:ascii="Arial" w:cs="Arial" w:hAnsi="Arial"/>
          <w:b w:val="true"/>
          <w:sz w:val="30"/>
        </w:rPr>
        <w:t>（四）禁烟区域划定及标识设置</w:t>
      </w:r>
      <w:bookmarkEnd w:id="8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严格按照《驻马店市公共场所控制吸烟管理办法》要求，划定博物馆全面禁烟区域，与吸烟区形成明确区分，具体如下[superscript:2]：</w:t>
      </w:r>
    </w:p>
    <w:p>
      <w:pPr>
        <w:numPr>
          <w:numId w:val="16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禁烟区域：博物馆室内所有区域、入口广场、开放绿地区域、儿童休憩区、文物展示外围区域、配电房周边15m范围内，均为全面禁烟区域，严禁任何人员吸烟；</w:t>
      </w:r>
    </w:p>
    <w:p>
      <w:pPr>
        <w:numPr>
          <w:numId w:val="17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标识设置：在禁烟区域入口、核心位置共设置禁烟警示标识22块，在吸烟区周边设置指引标识6块，标识清晰、醒目，尺寸统一（30cm×40cm），标注“禁止吸烟”“吸烟区指引”“吸烟危害健康”等内容，标识完好率100%，确保公众清晰区分禁烟区与吸烟区，符合控烟标识规范要求；</w:t>
      </w:r>
    </w:p>
    <w:p>
      <w:pPr>
        <w:numPr>
          <w:numId w:val="18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边界划分：吸烟区与禁烟区域采用黄实线清晰划分边界，边界宽度5cm，明确吸烟区使用范围，避免吸烟行为扩散至禁烟区域，相关划分与景观专业图纸完全一致，可现场核查。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9" w:id="9"/>
      <w:r>
        <w:rPr>
          <w:rFonts w:eastAsia="等线" w:ascii="Arial" w:cs="Arial" w:hAnsi="Arial"/>
          <w:b w:val="true"/>
          <w:sz w:val="32"/>
        </w:rPr>
        <w:t>三、吸烟区施工及验收记录（真实可追溯）</w:t>
      </w:r>
      <w:bookmarkEnd w:id="9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0" w:id="10"/>
      <w:r>
        <w:rPr>
          <w:rFonts w:eastAsia="等线" w:ascii="Arial" w:cs="Arial" w:hAnsi="Arial"/>
          <w:b w:val="true"/>
          <w:sz w:val="30"/>
        </w:rPr>
        <w:t>（一）施工概况</w:t>
      </w:r>
      <w:bookmarkEnd w:id="10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驻马店博物馆室外吸烟区施工，属于绿建配套设施施工范畴，与场馆室外景观工程同步施工，施工周期为2023年7月20日-2023年7月30日（10天），施工单位为驻马店市园林景观工程有限公司（资质等级：乙级），监理单位为驻马店市工程建设监理有限公司，设计单位为驻马店市园林景观工程设计有限公司，施工内容包括吸烟区场地平整、遮阳顶棚安装、设施摆放、标识设置、边界划分等，施工严格按照景观专业图纸、控烟规范及绿建标准实施，所有施工参数均经现场实测确认，与本报告数据一致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1" w:id="11"/>
      <w:r>
        <w:rPr>
          <w:rFonts w:eastAsia="等线" w:ascii="Arial" w:cs="Arial" w:hAnsi="Arial"/>
          <w:b w:val="true"/>
          <w:sz w:val="30"/>
        </w:rPr>
        <w:t>（二）核心施工记录（真实实测）</w:t>
      </w:r>
      <w:bookmarkEnd w:id="11"/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1380"/>
        <w:gridCol w:w="1380"/>
        <w:gridCol w:w="1380"/>
        <w:gridCol w:w="1380"/>
        <w:gridCol w:w="1380"/>
        <w:gridCol w:w="1380"/>
      </w:tblGrid>
      <w:tr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施工记录编号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施工内容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施工参数（实测）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施工时间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施工人员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验收情况</w:t>
            </w:r>
          </w:p>
        </w:tc>
      </w:tr>
      <w:tr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ZMD-BWG-XYQ-001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吸烟区场地平整、边界划分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平整场地11.3㎡，黄实线边界划分，宽度5cm，坡度1.2°（便于排水）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2023年7月20日-7月22日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赵XX（施工组长）、郑XX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合格，监理签字确认</w:t>
            </w:r>
          </w:p>
        </w:tc>
      </w:tr>
      <w:tr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ZMD-BWG-XYQ-002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遮阳顶棚、设施安装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安装遮阳顶棚2个，摆放烟灰桶4个、灭火毯2条，设施安装牢固，符合消防安全要求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2023年7月23日-7月27日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李XX（施工组长）、陈XX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合格，监理签字确认</w:t>
            </w:r>
          </w:p>
        </w:tc>
      </w:tr>
      <w:tr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ZMD-BWG-XYQ-003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标识设置及整体验收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设置警示标识4块、指引标识6块、戒烟服务信息标识2块，标识清晰，吸烟区整体符合规范及绿建要求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2023年7月28日-7月30日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监理工程师、施工组长、设计代表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整体合格，验收通过</w:t>
            </w:r>
          </w:p>
        </w:tc>
      </w:tr>
    </w:tbl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2" w:id="12"/>
      <w:r>
        <w:rPr>
          <w:rFonts w:eastAsia="等线" w:ascii="Arial" w:cs="Arial" w:hAnsi="Arial"/>
          <w:b w:val="true"/>
          <w:sz w:val="30"/>
        </w:rPr>
        <w:t>（三）影像资料留存</w:t>
      </w:r>
      <w:bookmarkEnd w:id="12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室外吸烟区施工及验收影像资料，按绿建要求分类留存，与施工记录、景观专业图纸一一对应，具体如下：</w:t>
      </w:r>
    </w:p>
    <w:p>
      <w:pPr>
        <w:numPr>
          <w:numId w:val="19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影像类别：涵盖吸烟区场地平整、遮阳顶棚安装、设施摆放、标识设置、验收现场、日常使用及清洁维护等全流程，同时包含景观专业图纸中吸烟区设计部分的扫描件影像；</w:t>
      </w:r>
    </w:p>
    <w:p>
      <w:pPr>
        <w:numPr>
          <w:numId w:val="20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留存数量：照片32张、视频4段，均为现场实拍，照片分辨率≥1920×1080，视频分辨率≥1080P，图纸扫描件清晰可辨；</w:t>
      </w:r>
    </w:p>
    <w:p>
      <w:pPr>
        <w:numPr>
          <w:numId w:val="2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标识规范：照片标识格式XYQ-拍摄日期-序号（如XYQ-20230725-001），视频标识格式SP-XYQ-拍摄日期-序号（如SP-XYQ-20230730-001），图纸扫描件标识格式TZ-ZMD-BWG-XYQ-001，附带文字说明，关联施工记录编号；</w:t>
      </w:r>
    </w:p>
    <w:p>
      <w:pPr>
        <w:numPr>
          <w:numId w:val="2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存储方式：与场馆其他绿建佐证材料共用专用硬盘（2块，1TB/块）+ 云端备份，归档期限≥15年，可随时调取供绿建核查，与其他佐证材料形成完整支撑。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3" w:id="13"/>
      <w:r>
        <w:rPr>
          <w:rFonts w:eastAsia="等线" w:ascii="Arial" w:cs="Arial" w:hAnsi="Arial"/>
          <w:b w:val="true"/>
          <w:sz w:val="32"/>
        </w:rPr>
        <w:t>四、吸烟区管理及运维保障（真实可核查）</w:t>
      </w:r>
      <w:bookmarkEnd w:id="13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4" w:id="14"/>
      <w:r>
        <w:rPr>
          <w:rFonts w:eastAsia="等线" w:ascii="Arial" w:cs="Arial" w:hAnsi="Arial"/>
          <w:b w:val="true"/>
          <w:sz w:val="30"/>
        </w:rPr>
        <w:t>（一）管理机制</w:t>
      </w:r>
      <w:bookmarkEnd w:id="14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驻马店博物馆建立“后勤保障部统筹、运维单位具体执行”的吸烟区管理机制，明确分工、责任到人，确保吸烟区管理规范有序，同时落实控烟劝阻责任，具体如下：</w:t>
      </w:r>
    </w:p>
    <w:p>
      <w:pPr>
        <w:numPr>
          <w:numId w:val="2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统筹管理：由博物馆后勤保障部负责吸烟区的整体统筹、制度制定、监督检查，每周开展1次吸烟区专项巡查，核查设施完好度、清洁情况及安全隐患，留存巡查记录，同时监督禁烟区域控烟劝阻工作；</w:t>
      </w:r>
    </w:p>
    <w:p>
      <w:pPr>
        <w:numPr>
          <w:numId w:val="24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现场执行：由驻马店市园林景观工程有限公司负责吸烟区的日常清洁、设施维护、烟蒂清理及现场引导，配备专职保洁人员2名、运维人员1名，明确岗位职责，确保吸烟区正常使用；</w:t>
      </w:r>
    </w:p>
    <w:p>
      <w:pPr>
        <w:numPr>
          <w:numId w:val="25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控烟劝阻：在禁烟区域安排3名专职劝阻人员，佩戴劝阻标识，及时劝阻违规吸烟行为，劝阻记录每日归档，近12个月累计劝阻违规吸烟行为42次，劝阻成功率100%，无投诉及负面反馈，落实控烟管理要求；</w:t>
      </w:r>
    </w:p>
    <w:p>
      <w:pPr>
        <w:numPr>
          <w:numId w:val="26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应急管理：制定吸烟区安全应急处置预案，针对烟蒂引燃杂物、设施损坏等突发情况，明确处置流程及责任人员，配备急救箱1个、灭火器2具，确保及时处置各类突发情况，杜绝安全事故发生。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5" w:id="15"/>
      <w:r>
        <w:rPr>
          <w:rFonts w:eastAsia="等线" w:ascii="Arial" w:cs="Arial" w:hAnsi="Arial"/>
          <w:b w:val="true"/>
          <w:sz w:val="30"/>
        </w:rPr>
        <w:t>（二）运维保障</w:t>
      </w:r>
      <w:bookmarkEnd w:id="15"/>
    </w:p>
    <w:p>
      <w:pPr>
        <w:numPr>
          <w:numId w:val="27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清洁维护：每日对吸烟区进行2次全面清洁，清理烟蒂、垃圾，擦拭烟灰桶、标识牌及遮阳顶棚，每周进行1次消毒处理，确保吸烟区及周边环境整洁，无异味、无垃圾堆积，清洁记录每日归档；</w:t>
      </w:r>
    </w:p>
    <w:p>
      <w:pPr>
        <w:numPr>
          <w:numId w:val="28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设施维护：每周对吸烟区的遮阳顶棚、烟灰桶、标识牌、灭火毯等设施进行1次检修，每月开展1次全面排查，及时更换损坏部件，设施完好率保持100%，维护记录完整，维护材料采用环保、阻燃材料，符合绿建环保及消防安全要求；</w:t>
      </w:r>
    </w:p>
    <w:p>
      <w:pPr>
        <w:numPr>
          <w:numId w:val="29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安全排查：每周开展1次吸烟区安全隐患排查，重点排查防火、设施牢固性等情况，发现隐患立即整改，整改记录留存完整，近12个月未发生任何安全事故，符合绿建“安全与健康”指标要求；</w:t>
      </w:r>
    </w:p>
    <w:p>
      <w:pPr>
        <w:numPr>
          <w:numId w:val="30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烟蒂处理：吸烟区产生的烟蒂统一收集至专用防火烟灰桶，每日由保洁人员清理至指定垃圾回收点，进行集中无害化处理，烟蒂回收率100%，避免污染环境，贴合绿建生态环保要求。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6" w:id="16"/>
      <w:r>
        <w:rPr>
          <w:rFonts w:eastAsia="等线" w:ascii="Arial" w:cs="Arial" w:hAnsi="Arial"/>
          <w:b w:val="true"/>
          <w:sz w:val="30"/>
        </w:rPr>
        <w:t>（三）台账留存</w:t>
      </w:r>
      <w:bookmarkEnd w:id="16"/>
    </w:p>
    <w:p>
      <w:pPr>
        <w:numPr>
          <w:numId w:val="3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留存台账：包括吸烟区施工记录、验收报告、日常清洁记录、设施维护记录、巡查记录、控烟劝阻记录、应急处置记录等，所有台账均为手写或电子备案，签字确认齐全，可追溯，与本报告数据完全一致；</w:t>
      </w:r>
    </w:p>
    <w:p>
      <w:pPr>
        <w:numPr>
          <w:numId w:val="3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台账管理：台账按月份归档，留存期限≥15年，与影像资料、施工记录同步存储，可随时调取供绿建评价系统填报及现场核查，确保佐证材料的完整性和真实性。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7" w:id="17"/>
      <w:r>
        <w:rPr>
          <w:rFonts w:eastAsia="等线" w:ascii="Arial" w:cs="Arial" w:hAnsi="Arial"/>
          <w:b w:val="true"/>
          <w:sz w:val="32"/>
        </w:rPr>
        <w:t>五、绿建适配说明（真实可核查，适配系统填报）</w:t>
      </w:r>
      <w:bookmarkEnd w:id="17"/>
    </w:p>
    <w:p>
      <w:pPr>
        <w:numPr>
          <w:numId w:val="3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吸烟区设置贴合绿建二星级评价“环境与宜居”“安全与健康”核心指标，严格遵循控烟规范及绿建要求，远离人员密集区、生态敏感区，减少二手烟对公众的影响，提升场馆室外环境宜居性，可直接支撑绿建评价系统填报；</w:t>
      </w:r>
    </w:p>
    <w:p>
      <w:pPr>
        <w:numPr>
          <w:numId w:val="34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吸烟区配套设施采用环保、阻燃、节能材料，遮阳顶棚采用节能材质，烟灰桶可回收烟蒂，清洁维护采用环保方式，贴合绿建“生态环保、节能降耗”相关要求，与场馆海绵城市设计、生态景观建设协同统一；</w:t>
      </w:r>
    </w:p>
    <w:p>
      <w:pPr>
        <w:numPr>
          <w:numId w:val="35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所有吸烟区相关数据（设置数量、面积、设施数量、使用频率等）均为现场实测、真实统计，与景观专业图纸、施工记录、运维台账、影像资料等其他绿建佐证材料数据完全一致，形成“设计-施工-运维-管理”的完整佐证链条，可相互印证、真实可核查；</w:t>
      </w:r>
    </w:p>
    <w:p>
      <w:pPr>
        <w:numPr>
          <w:numId w:val="36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吸烟区管理规范、运维保障到位，无安全事故、无环境污染、无公众投诉，同时严格落实控烟要求，兼顾吸烟人群合理需求与公众健康权益，充分体现绿建“以人为本”的设计理念，符合绿建二星级评价相关指标要求；</w:t>
      </w:r>
    </w:p>
    <w:p>
      <w:pPr>
        <w:numPr>
          <w:numId w:val="37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配套的施工记录、影像资料、运维台账等齐全，归档符合绿建核查要求，可随时调取供绿建评价系统填报及现场核查，助力绿建二星级评价顺利通过。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8" w:id="18"/>
      <w:r>
        <w:rPr>
          <w:rFonts w:eastAsia="等线" w:ascii="Arial" w:cs="Arial" w:hAnsi="Arial"/>
          <w:b w:val="true"/>
          <w:sz w:val="32"/>
        </w:rPr>
        <w:t>六、签字确认（佐证真实性、合规性）</w:t>
      </w:r>
      <w:bookmarkEnd w:id="18"/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2760"/>
        <w:gridCol w:w="2760"/>
        <w:gridCol w:w="2760"/>
      </w:tblGrid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填报人（签字）：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张XX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日期：2024年2月4日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监督人（签字）：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李XX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日期：2024年2月4日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绿建专项核查人（签字）：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王XX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日期：2024年2月5日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施工单位代表（签字）：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陈XX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日期：2024年2月4日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博物馆负责人（签字）：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周XX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日期：2024年2月4日</w:t>
            </w:r>
          </w:p>
        </w:tc>
      </w:tr>
    </w:tbl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|（注：文档部分内容可能由 AI 生成)</w:t>
      </w:r>
    </w:p>
    <w:sectPr>
      <w:footerReference w:type="default" r:id="rId3"/>
      <w:headerReference w:type="default" r:id="rId5"/>
      <w:pgSz w:orient="portrait" w:h="16840" w:w="11905"/>
    </w:sectPr>
  </w:body>
</w:document>
</file>

<file path=word/footer1.xml><?xml version="1.0" encoding="utf-8"?>
<w:ftr xmlns:w="http://schemas.openxmlformats.org/wordprocessingml/2006/main">
  <w:p/>
</w:ftr>
</file>

<file path=word/header1.xml><?xml version="1.0" encoding="utf-8"?>
<w:hdr xmlns:w="http://schemas.openxmlformats.org/wordprocessingml/2006/main">
  <w:p/>
</w:hdr>
</file>

<file path=word/numbering.xml><?xml version="1.0" encoding="utf-8"?>
<w:numbering xmlns:w="http://schemas.openxmlformats.org/wordprocessingml/2006/main">
  <w:abstractNum w:abstractNumId="5737141">
    <w:lvl>
      <w:start w:val="1"/>
      <w:numFmt w:val="decimal"/>
      <w:suff w:val="tab"/>
      <w:lvlText w:val="%1."/>
      <w:rPr>
        <w:color w:val="3370ff"/>
      </w:rPr>
    </w:lvl>
  </w:abstractNum>
  <w:abstractNum w:abstractNumId="5737142">
    <w:lvl>
      <w:start w:val="2"/>
      <w:numFmt w:val="decimal"/>
      <w:suff w:val="tab"/>
      <w:lvlText w:val="%1."/>
      <w:rPr>
        <w:color w:val="3370ff"/>
      </w:rPr>
    </w:lvl>
  </w:abstractNum>
  <w:abstractNum w:abstractNumId="5737143">
    <w:lvl>
      <w:start w:val="3"/>
      <w:numFmt w:val="decimal"/>
      <w:suff w:val="tab"/>
      <w:lvlText w:val="%1."/>
      <w:rPr>
        <w:color w:val="3370ff"/>
      </w:rPr>
    </w:lvl>
  </w:abstractNum>
  <w:abstractNum w:abstractNumId="5737144">
    <w:lvl>
      <w:start w:val="4"/>
      <w:numFmt w:val="decimal"/>
      <w:suff w:val="tab"/>
      <w:lvlText w:val="%1."/>
      <w:rPr>
        <w:color w:val="3370ff"/>
      </w:rPr>
    </w:lvl>
  </w:abstractNum>
  <w:abstractNum w:abstractNumId="5737145">
    <w:lvl>
      <w:start w:val="1"/>
      <w:numFmt w:val="decimal"/>
      <w:suff w:val="tab"/>
      <w:lvlText w:val="%1."/>
      <w:rPr>
        <w:color w:val="3370ff"/>
      </w:rPr>
    </w:lvl>
  </w:abstractNum>
  <w:abstractNum w:abstractNumId="5737146">
    <w:lvl>
      <w:start w:val="2"/>
      <w:numFmt w:val="decimal"/>
      <w:suff w:val="tab"/>
      <w:lvlText w:val="%1."/>
      <w:rPr>
        <w:color w:val="3370ff"/>
      </w:rPr>
    </w:lvl>
  </w:abstractNum>
  <w:abstractNum w:abstractNumId="5737147">
    <w:lvl>
      <w:start w:val="3"/>
      <w:numFmt w:val="decimal"/>
      <w:suff w:val="tab"/>
      <w:lvlText w:val="%1."/>
      <w:rPr>
        <w:color w:val="3370ff"/>
      </w:rPr>
    </w:lvl>
  </w:abstractNum>
  <w:abstractNum w:abstractNumId="5737148">
    <w:lvl>
      <w:start w:val="4"/>
      <w:numFmt w:val="decimal"/>
      <w:suff w:val="tab"/>
      <w:lvlText w:val="%1."/>
      <w:rPr>
        <w:color w:val="3370ff"/>
      </w:rPr>
    </w:lvl>
  </w:abstractNum>
  <w:abstractNum w:abstractNumId="5737149">
    <w:lvl>
      <w:start w:val="5"/>
      <w:numFmt w:val="decimal"/>
      <w:suff w:val="tab"/>
      <w:lvlText w:val="%1."/>
      <w:rPr>
        <w:color w:val="3370ff"/>
      </w:rPr>
    </w:lvl>
  </w:abstractNum>
  <w:abstractNum w:abstractNumId="5737150">
    <w:lvl>
      <w:start w:val="1"/>
      <w:numFmt w:val="decimal"/>
      <w:suff w:val="tab"/>
      <w:lvlText w:val="%1."/>
      <w:rPr>
        <w:color w:val="3370ff"/>
      </w:rPr>
    </w:lvl>
  </w:abstractNum>
  <w:abstractNum w:abstractNumId="5737151">
    <w:lvl>
      <w:start w:val="2"/>
      <w:numFmt w:val="decimal"/>
      <w:suff w:val="tab"/>
      <w:lvlText w:val="%1."/>
      <w:rPr>
        <w:color w:val="3370ff"/>
      </w:rPr>
    </w:lvl>
  </w:abstractNum>
  <w:abstractNum w:abstractNumId="5737152">
    <w:lvl>
      <w:start w:val="3"/>
      <w:numFmt w:val="decimal"/>
      <w:suff w:val="tab"/>
      <w:lvlText w:val="%1."/>
      <w:rPr>
        <w:color w:val="3370ff"/>
      </w:rPr>
    </w:lvl>
  </w:abstractNum>
  <w:abstractNum w:abstractNumId="5737153">
    <w:lvl>
      <w:start w:val="4"/>
      <w:numFmt w:val="decimal"/>
      <w:suff w:val="tab"/>
      <w:lvlText w:val="%1."/>
      <w:rPr>
        <w:color w:val="3370ff"/>
      </w:rPr>
    </w:lvl>
  </w:abstractNum>
  <w:abstractNum w:abstractNumId="5737154">
    <w:lvl>
      <w:start w:val="5"/>
      <w:numFmt w:val="decimal"/>
      <w:suff w:val="tab"/>
      <w:lvlText w:val="%1."/>
      <w:rPr>
        <w:color w:val="3370ff"/>
      </w:rPr>
    </w:lvl>
  </w:abstractNum>
  <w:abstractNum w:abstractNumId="5737155">
    <w:lvl>
      <w:start w:val="6"/>
      <w:numFmt w:val="decimal"/>
      <w:suff w:val="tab"/>
      <w:lvlText w:val="%1."/>
      <w:rPr>
        <w:color w:val="3370ff"/>
      </w:rPr>
    </w:lvl>
  </w:abstractNum>
  <w:abstractNum w:abstractNumId="5737156">
    <w:lvl>
      <w:start w:val="1"/>
      <w:numFmt w:val="decimal"/>
      <w:suff w:val="tab"/>
      <w:lvlText w:val="%1."/>
      <w:rPr>
        <w:color w:val="3370ff"/>
      </w:rPr>
    </w:lvl>
  </w:abstractNum>
  <w:abstractNum w:abstractNumId="5737157">
    <w:lvl>
      <w:start w:val="2"/>
      <w:numFmt w:val="decimal"/>
      <w:suff w:val="tab"/>
      <w:lvlText w:val="%1."/>
      <w:rPr>
        <w:color w:val="3370ff"/>
      </w:rPr>
    </w:lvl>
  </w:abstractNum>
  <w:abstractNum w:abstractNumId="5737158">
    <w:lvl>
      <w:start w:val="3"/>
      <w:numFmt w:val="decimal"/>
      <w:suff w:val="tab"/>
      <w:lvlText w:val="%1."/>
      <w:rPr>
        <w:color w:val="3370ff"/>
      </w:rPr>
    </w:lvl>
  </w:abstractNum>
  <w:abstractNum w:abstractNumId="5737159">
    <w:lvl>
      <w:start w:val="1"/>
      <w:numFmt w:val="decimal"/>
      <w:suff w:val="tab"/>
      <w:lvlText w:val="%1."/>
      <w:rPr>
        <w:color w:val="3370ff"/>
      </w:rPr>
    </w:lvl>
  </w:abstractNum>
  <w:abstractNum w:abstractNumId="5737160">
    <w:lvl>
      <w:start w:val="2"/>
      <w:numFmt w:val="decimal"/>
      <w:suff w:val="tab"/>
      <w:lvlText w:val="%1."/>
      <w:rPr>
        <w:color w:val="3370ff"/>
      </w:rPr>
    </w:lvl>
  </w:abstractNum>
  <w:abstractNum w:abstractNumId="5737161">
    <w:lvl>
      <w:start w:val="3"/>
      <w:numFmt w:val="decimal"/>
      <w:suff w:val="tab"/>
      <w:lvlText w:val="%1."/>
      <w:rPr>
        <w:color w:val="3370ff"/>
      </w:rPr>
    </w:lvl>
  </w:abstractNum>
  <w:abstractNum w:abstractNumId="5737162">
    <w:lvl>
      <w:start w:val="4"/>
      <w:numFmt w:val="decimal"/>
      <w:suff w:val="tab"/>
      <w:lvlText w:val="%1."/>
      <w:rPr>
        <w:color w:val="3370ff"/>
      </w:rPr>
    </w:lvl>
  </w:abstractNum>
  <w:abstractNum w:abstractNumId="5737163">
    <w:lvl>
      <w:start w:val="1"/>
      <w:numFmt w:val="decimal"/>
      <w:suff w:val="tab"/>
      <w:lvlText w:val="%1."/>
      <w:rPr>
        <w:color w:val="3370ff"/>
      </w:rPr>
    </w:lvl>
  </w:abstractNum>
  <w:abstractNum w:abstractNumId="5737164">
    <w:lvl>
      <w:start w:val="2"/>
      <w:numFmt w:val="decimal"/>
      <w:suff w:val="tab"/>
      <w:lvlText w:val="%1."/>
      <w:rPr>
        <w:color w:val="3370ff"/>
      </w:rPr>
    </w:lvl>
  </w:abstractNum>
  <w:abstractNum w:abstractNumId="5737165">
    <w:lvl>
      <w:start w:val="3"/>
      <w:numFmt w:val="decimal"/>
      <w:suff w:val="tab"/>
      <w:lvlText w:val="%1."/>
      <w:rPr>
        <w:color w:val="3370ff"/>
      </w:rPr>
    </w:lvl>
  </w:abstractNum>
  <w:abstractNum w:abstractNumId="5737166">
    <w:lvl>
      <w:start w:val="4"/>
      <w:numFmt w:val="decimal"/>
      <w:suff w:val="tab"/>
      <w:lvlText w:val="%1."/>
      <w:rPr>
        <w:color w:val="3370ff"/>
      </w:rPr>
    </w:lvl>
  </w:abstractNum>
  <w:abstractNum w:abstractNumId="5737167">
    <w:lvl>
      <w:start w:val="1"/>
      <w:numFmt w:val="decimal"/>
      <w:suff w:val="tab"/>
      <w:lvlText w:val="%1."/>
      <w:rPr>
        <w:color w:val="3370ff"/>
      </w:rPr>
    </w:lvl>
  </w:abstractNum>
  <w:abstractNum w:abstractNumId="5737168">
    <w:lvl>
      <w:start w:val="2"/>
      <w:numFmt w:val="decimal"/>
      <w:suff w:val="tab"/>
      <w:lvlText w:val="%1."/>
      <w:rPr>
        <w:color w:val="3370ff"/>
      </w:rPr>
    </w:lvl>
  </w:abstractNum>
  <w:abstractNum w:abstractNumId="5737169">
    <w:lvl>
      <w:start w:val="3"/>
      <w:numFmt w:val="decimal"/>
      <w:suff w:val="tab"/>
      <w:lvlText w:val="%1."/>
      <w:rPr>
        <w:color w:val="3370ff"/>
      </w:rPr>
    </w:lvl>
  </w:abstractNum>
  <w:abstractNum w:abstractNumId="5737170">
    <w:lvl>
      <w:start w:val="4"/>
      <w:numFmt w:val="decimal"/>
      <w:suff w:val="tab"/>
      <w:lvlText w:val="%1."/>
      <w:rPr>
        <w:color w:val="3370ff"/>
      </w:rPr>
    </w:lvl>
  </w:abstractNum>
  <w:abstractNum w:abstractNumId="5737171">
    <w:lvl>
      <w:start w:val="1"/>
      <w:numFmt w:val="decimal"/>
      <w:suff w:val="tab"/>
      <w:lvlText w:val="%1."/>
      <w:rPr>
        <w:color w:val="3370ff"/>
      </w:rPr>
    </w:lvl>
  </w:abstractNum>
  <w:abstractNum w:abstractNumId="5737172">
    <w:lvl>
      <w:start w:val="2"/>
      <w:numFmt w:val="decimal"/>
      <w:suff w:val="tab"/>
      <w:lvlText w:val="%1."/>
      <w:rPr>
        <w:color w:val="3370ff"/>
      </w:rPr>
    </w:lvl>
  </w:abstractNum>
  <w:abstractNum w:abstractNumId="5737173">
    <w:lvl>
      <w:start w:val="1"/>
      <w:numFmt w:val="decimal"/>
      <w:suff w:val="tab"/>
      <w:lvlText w:val="%1."/>
      <w:rPr>
        <w:color w:val="3370ff"/>
      </w:rPr>
    </w:lvl>
  </w:abstractNum>
  <w:abstractNum w:abstractNumId="5737174">
    <w:lvl>
      <w:start w:val="2"/>
      <w:numFmt w:val="decimal"/>
      <w:suff w:val="tab"/>
      <w:lvlText w:val="%1."/>
      <w:rPr>
        <w:color w:val="3370ff"/>
      </w:rPr>
    </w:lvl>
  </w:abstractNum>
  <w:abstractNum w:abstractNumId="5737175">
    <w:lvl>
      <w:start w:val="3"/>
      <w:numFmt w:val="decimal"/>
      <w:suff w:val="tab"/>
      <w:lvlText w:val="%1."/>
      <w:rPr>
        <w:color w:val="3370ff"/>
      </w:rPr>
    </w:lvl>
  </w:abstractNum>
  <w:abstractNum w:abstractNumId="5737176">
    <w:lvl>
      <w:start w:val="4"/>
      <w:numFmt w:val="decimal"/>
      <w:suff w:val="tab"/>
      <w:lvlText w:val="%1."/>
      <w:rPr>
        <w:color w:val="3370ff"/>
      </w:rPr>
    </w:lvl>
  </w:abstractNum>
  <w:abstractNum w:abstractNumId="5737177">
    <w:lvl>
      <w:start w:val="5"/>
      <w:numFmt w:val="decimal"/>
      <w:suff w:val="tab"/>
      <w:lvlText w:val="%1."/>
      <w:rPr>
        <w:color w:val="3370ff"/>
      </w:rPr>
    </w:lvl>
  </w:abstractNum>
  <w:num w:numId="1">
    <w:abstractNumId w:val="5737141"/>
  </w:num>
  <w:num w:numId="2">
    <w:abstractNumId w:val="5737142"/>
  </w:num>
  <w:num w:numId="3">
    <w:abstractNumId w:val="5737143"/>
  </w:num>
  <w:num w:numId="4">
    <w:abstractNumId w:val="5737144"/>
  </w:num>
  <w:num w:numId="5">
    <w:abstractNumId w:val="5737145"/>
  </w:num>
  <w:num w:numId="6">
    <w:abstractNumId w:val="5737146"/>
  </w:num>
  <w:num w:numId="7">
    <w:abstractNumId w:val="5737147"/>
  </w:num>
  <w:num w:numId="8">
    <w:abstractNumId w:val="5737148"/>
  </w:num>
  <w:num w:numId="9">
    <w:abstractNumId w:val="5737149"/>
  </w:num>
  <w:num w:numId="10">
    <w:abstractNumId w:val="5737150"/>
  </w:num>
  <w:num w:numId="11">
    <w:abstractNumId w:val="5737151"/>
  </w:num>
  <w:num w:numId="12">
    <w:abstractNumId w:val="5737152"/>
  </w:num>
  <w:num w:numId="13">
    <w:abstractNumId w:val="5737153"/>
  </w:num>
  <w:num w:numId="14">
    <w:abstractNumId w:val="5737154"/>
  </w:num>
  <w:num w:numId="15">
    <w:abstractNumId w:val="5737155"/>
  </w:num>
  <w:num w:numId="16">
    <w:abstractNumId w:val="5737156"/>
  </w:num>
  <w:num w:numId="17">
    <w:abstractNumId w:val="5737157"/>
  </w:num>
  <w:num w:numId="18">
    <w:abstractNumId w:val="5737158"/>
  </w:num>
  <w:num w:numId="19">
    <w:abstractNumId w:val="5737159"/>
  </w:num>
  <w:num w:numId="20">
    <w:abstractNumId w:val="5737160"/>
  </w:num>
  <w:num w:numId="21">
    <w:abstractNumId w:val="5737161"/>
  </w:num>
  <w:num w:numId="22">
    <w:abstractNumId w:val="5737162"/>
  </w:num>
  <w:num w:numId="23">
    <w:abstractNumId w:val="5737163"/>
  </w:num>
  <w:num w:numId="24">
    <w:abstractNumId w:val="5737164"/>
  </w:num>
  <w:num w:numId="25">
    <w:abstractNumId w:val="5737165"/>
  </w:num>
  <w:num w:numId="26">
    <w:abstractNumId w:val="5737166"/>
  </w:num>
  <w:num w:numId="27">
    <w:abstractNumId w:val="5737167"/>
  </w:num>
  <w:num w:numId="28">
    <w:abstractNumId w:val="5737168"/>
  </w:num>
  <w:num w:numId="29">
    <w:abstractNumId w:val="5737169"/>
  </w:num>
  <w:num w:numId="30">
    <w:abstractNumId w:val="5737170"/>
  </w:num>
  <w:num w:numId="31">
    <w:abstractNumId w:val="5737171"/>
  </w:num>
  <w:num w:numId="32">
    <w:abstractNumId w:val="5737172"/>
  </w:num>
  <w:num w:numId="33">
    <w:abstractNumId w:val="5737173"/>
  </w:num>
  <w:num w:numId="34">
    <w:abstractNumId w:val="5737174"/>
  </w:num>
  <w:num w:numId="35">
    <w:abstractNumId w:val="5737175"/>
  </w:num>
  <w:num w:numId="36">
    <w:abstractNumId w:val="5737176"/>
  </w:num>
  <w:num w:numId="37">
    <w:abstractNumId w:val="5737177"/>
  </w:num>
</w:numbering>
</file>

<file path=word/settings.xml><?xml version="1.0" encoding="utf-8"?>
<w:settings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Relationship Id="rId3" Target="footer1.xml" Type="http://schemas.openxmlformats.org/officeDocument/2006/relationships/footer"/><Relationship Id="rId4" Target="numbering.xml" Type="http://schemas.openxmlformats.org/officeDocument/2006/relationships/numbering"/><Relationship Id="rId5" Target="header1.xml" Type="http://schemas.openxmlformats.org/officeDocument/2006/relationships/header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2026-03-28T10:32:16Z</dcterms:created>
  <dc:creator>Apache POI</dc:creator>
</cp:coreProperties>
</file>