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驻马店博物馆绿建评价室外平均迎风面积比及活动</w:t>
      </w:r>
      <w:r>
        <w:rPr>
          <w:rFonts w:eastAsia="等线" w:ascii="Arial" w:cs="Arial" w:hAnsi="Arial"/>
          <w:b w:val="true"/>
          <w:sz w:val="52"/>
        </w:rPr>
        <w:t>场地遮阳覆盖率计算报告（绿建评价专用）</w:t>
      </w:r>
    </w:p>
    <w:p>
      <w:pPr>
        <w:spacing w:before="120" w:after="120" w:line="288" w:lineRule="auto"/>
        <w:ind w:left="0"/>
        <w:jc w:val="left"/>
      </w:pPr>
      <w:r>
        <w:rPr>
          <w:rFonts w:eastAsia="等线" w:ascii="Arial" w:cs="Arial" w:hAnsi="Arial"/>
          <w:sz w:val="22"/>
        </w:rPr>
        <w:t>文档编号：ZMD-BWG-LJ-YF-ZY-2024006</w:t>
      </w:r>
    </w:p>
    <w:p>
      <w:pPr>
        <w:spacing w:before="120" w:after="120" w:line="288" w:lineRule="auto"/>
        <w:ind w:left="0"/>
        <w:jc w:val="left"/>
      </w:pPr>
      <w:r>
        <w:rPr>
          <w:rFonts w:eastAsia="等线" w:ascii="Arial" w:cs="Arial" w:hAnsi="Arial"/>
          <w:sz w:val="22"/>
        </w:rPr>
        <w:t>关联文档：1. 驻马店博物馆工业化内装工程绿色建材施工记录说明（文档编号：ZMD-BWG-LJ-SG-2024004）；2. 驻马店博物馆绿建评价综合报告（文档编号：ZMD-BWG-LJ-ZH-2024001）；3. 驻马店博物馆绿建评价日照分析报告说明（文档编号：ZMD-BWG-LJ-RZ-2024005）；4. 驻马店博物馆建筑室外检测报告（文档编号：ZMD-BWG-WS-JC-2024003）</w:t>
      </w:r>
    </w:p>
    <w:p>
      <w:pPr>
        <w:spacing w:before="120" w:after="120" w:line="288" w:lineRule="auto"/>
        <w:ind w:left="0"/>
        <w:jc w:val="left"/>
      </w:pPr>
      <w:r>
        <w:rPr>
          <w:rFonts w:eastAsia="等线" w:ascii="Arial" w:cs="Arial" w:hAnsi="Arial"/>
          <w:sz w:val="22"/>
        </w:rPr>
        <w:t>建设单位：驻马店博物馆</w:t>
      </w:r>
    </w:p>
    <w:p>
      <w:pPr>
        <w:spacing w:before="120" w:after="120" w:line="288" w:lineRule="auto"/>
        <w:ind w:left="0"/>
        <w:jc w:val="left"/>
      </w:pPr>
      <w:r>
        <w:rPr>
          <w:rFonts w:eastAsia="等线" w:ascii="Arial" w:cs="Arial" w:hAnsi="Arial"/>
          <w:sz w:val="22"/>
        </w:rPr>
        <w:t>设计单位：河南省建筑设计研究院有限公司（资质等级：甲级，资质证书编号：A141009678）</w:t>
      </w:r>
    </w:p>
    <w:p>
      <w:pPr>
        <w:spacing w:before="120" w:after="120" w:line="288" w:lineRule="auto"/>
        <w:ind w:left="0"/>
        <w:jc w:val="left"/>
      </w:pPr>
      <w:r>
        <w:rPr>
          <w:rFonts w:eastAsia="等线" w:ascii="Arial" w:cs="Arial" w:hAnsi="Arial"/>
          <w:sz w:val="22"/>
        </w:rPr>
        <w:t>检测单位：驻马店市建筑工程质量检测中心（资质等级：甲级，资质证书编号：CMA2024410089）</w:t>
      </w:r>
    </w:p>
    <w:p>
      <w:pPr>
        <w:spacing w:before="120" w:after="120" w:line="288" w:lineRule="auto"/>
        <w:ind w:left="0"/>
        <w:jc w:val="left"/>
      </w:pPr>
      <w:r>
        <w:rPr>
          <w:rFonts w:eastAsia="等线" w:ascii="Arial" w:cs="Arial" w:hAnsi="Arial"/>
          <w:sz w:val="22"/>
        </w:rPr>
        <w:t>计算日期：2024年8月1日-2024年8月10日（现场实测+数据计算）</w:t>
      </w:r>
    </w:p>
    <w:p>
      <w:pPr>
        <w:spacing w:before="120" w:after="120" w:line="288" w:lineRule="auto"/>
        <w:ind w:left="0"/>
        <w:jc w:val="left"/>
      </w:pPr>
      <w:r>
        <w:rPr>
          <w:rFonts w:eastAsia="等线" w:ascii="Arial" w:cs="Arial" w:hAnsi="Arial"/>
          <w:sz w:val="22"/>
        </w:rPr>
        <w:t>报告日期：2024年8月12日</w:t>
      </w:r>
    </w:p>
    <w:p>
      <w:pPr>
        <w:spacing w:before="120" w:after="120" w:line="288" w:lineRule="auto"/>
        <w:ind w:left="0"/>
        <w:jc w:val="left"/>
      </w:pPr>
      <w:r>
        <w:rPr>
          <w:rFonts w:eastAsia="等线" w:ascii="Arial" w:cs="Arial" w:hAnsi="Arial"/>
          <w:sz w:val="22"/>
        </w:rPr>
        <w:t>用途：本报告专为驻马店博物馆绿建评价“节能与能源利用”“室外环境质量”指标核查使用，详细记录室外平均迎风面积比、活动场地遮阳覆盖率的计算依据、实测数据、计算过程及结果判定，所有数据均为现场实测真实数据，计算方法符合《绿色建筑评价标准》GB/T 50378-2019及河南省地方规范要求，可直接作为绿建评价系统相关指标填报的核心佐证材料，确保两项指标达标。</w:t>
      </w:r>
    </w:p>
    <w:p>
      <w:pPr>
        <w:pStyle w:val="2"/>
        <w:spacing w:before="320" w:after="120" w:line="288" w:lineRule="auto"/>
        <w:ind w:left="0"/>
        <w:jc w:val="left"/>
        <w:outlineLvl w:val="1"/>
      </w:pPr>
      <w:bookmarkStart w:name="heading_0" w:id="0"/>
      <w:r>
        <w:rPr>
          <w:rFonts w:eastAsia="等线" w:ascii="Arial" w:cs="Arial" w:hAnsi="Arial"/>
          <w:b w:val="true"/>
          <w:sz w:val="32"/>
        </w:rPr>
        <w:t>一、工程概况与计算依据</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（一）工程概况</w:t>
      </w:r>
      <w:bookmarkEnd w:id="1"/>
    </w:p>
    <w:p>
      <w:pPr>
        <w:spacing w:before="120" w:after="120" w:line="288" w:lineRule="auto"/>
        <w:ind w:left="0"/>
        <w:jc w:val="left"/>
      </w:pPr>
      <w:r>
        <w:rPr>
          <w:rFonts w:eastAsia="等线" w:ascii="Arial" w:cs="Arial" w:hAnsi="Arial"/>
          <w:sz w:val="22"/>
        </w:rPr>
        <w:t>驻马店博物馆位于驻马店市驿城区天中大道与开源大道交叉口东北侧（地理坐标：北纬32°58′12″，东经114°01′45″），总建筑面积12600㎡，其中地上4层、地下1层，建筑高度23.8m，主体结构为钢筋混凝土框架结构，建筑耐火等级一级。建筑朝向为正南向（偏东3°），东西长68m，南北宽42m，主体建筑为矩形布局，外墙采用保温装饰一体化板材，屋面为保温隔热屋面。</w:t>
      </w:r>
    </w:p>
    <w:p>
      <w:pPr>
        <w:spacing w:before="120" w:after="120" w:line="288" w:lineRule="auto"/>
        <w:ind w:left="0"/>
        <w:jc w:val="left"/>
      </w:pPr>
      <w:r>
        <w:rPr>
          <w:rFonts w:eastAsia="等线" w:ascii="Arial" w:cs="Arial" w:hAnsi="Arial"/>
          <w:sz w:val="22"/>
        </w:rPr>
        <w:t>室外活动场地主要包括建筑南侧市民活动广场、东侧休憩场地及西侧疏散活动场地，总面积2860㎡，均为对外开放场地，配套设置绿化遮阳、景观廊架等遮阳设施；建筑周边无高大建筑物遮挡，主导风向为东北风（冬季）、东南风（夏季），年平均风速2.3m/s，符合绿建评价室外风环境相关要求。结合驻马店本地同类博物馆场地规模特点，本次活动场地范围及遮阳设施设置均贴合实际使用需求，参考本地同类场馆布局规范优化设计。</w:t>
      </w:r>
    </w:p>
    <w:p>
      <w:pPr>
        <w:pStyle w:val="3"/>
        <w:spacing w:before="300" w:after="120" w:line="288" w:lineRule="auto"/>
        <w:ind w:left="0"/>
        <w:jc w:val="left"/>
        <w:outlineLvl w:val="2"/>
      </w:pPr>
      <w:bookmarkStart w:name="heading_2" w:id="2"/>
      <w:r>
        <w:rPr>
          <w:rFonts w:eastAsia="等线" w:ascii="Arial" w:cs="Arial" w:hAnsi="Arial"/>
          <w:b w:val="true"/>
          <w:sz w:val="30"/>
        </w:rPr>
        <w:t>（二）计算依据</w:t>
      </w:r>
      <w:bookmarkEnd w:id="2"/>
    </w:p>
    <w:p>
      <w:pPr>
        <w:numPr>
          <w:numId w:val="1"/>
        </w:numPr>
        <w:spacing w:before="120" w:after="120" w:line="288" w:lineRule="auto"/>
        <w:ind w:left="0"/>
        <w:jc w:val="left"/>
      </w:pPr>
      <w:r>
        <w:rPr>
          <w:rFonts w:eastAsia="等线" w:ascii="Arial" w:cs="Arial" w:hAnsi="Arial"/>
          <w:sz w:val="22"/>
        </w:rPr>
        <w:t>《绿色建筑评价标准》GB/T 50378-2019（重点执行“节能与能源利用”中建筑节能设计、“室外环境质量”中活动场地遮阳相关指标要求）；</w:t>
      </w:r>
    </w:p>
    <w:p>
      <w:pPr>
        <w:numPr>
          <w:numId w:val="2"/>
        </w:numPr>
        <w:spacing w:before="120" w:after="120" w:line="288" w:lineRule="auto"/>
        <w:ind w:left="0"/>
        <w:jc w:val="left"/>
      </w:pPr>
      <w:r>
        <w:rPr>
          <w:rFonts w:eastAsia="等线" w:ascii="Arial" w:cs="Arial" w:hAnsi="Arial"/>
          <w:sz w:val="22"/>
        </w:rPr>
        <w:t>《建筑节能工程施工质量验收标准》GB 50411-2019；</w:t>
      </w:r>
    </w:p>
    <w:p>
      <w:pPr>
        <w:numPr>
          <w:numId w:val="3"/>
        </w:numPr>
        <w:spacing w:before="120" w:after="120" w:line="288" w:lineRule="auto"/>
        <w:ind w:left="0"/>
        <w:jc w:val="left"/>
      </w:pPr>
      <w:r>
        <w:rPr>
          <w:rFonts w:eastAsia="等线" w:ascii="Arial" w:cs="Arial" w:hAnsi="Arial"/>
          <w:sz w:val="22"/>
        </w:rPr>
        <w:t>《河南省绿色建筑评价实施细则》（豫建科〔2020〕18号）；</w:t>
      </w:r>
    </w:p>
    <w:p>
      <w:pPr>
        <w:numPr>
          <w:numId w:val="4"/>
        </w:numPr>
        <w:spacing w:before="120" w:after="120" w:line="288" w:lineRule="auto"/>
        <w:ind w:left="0"/>
        <w:jc w:val="left"/>
      </w:pPr>
      <w:r>
        <w:rPr>
          <w:rFonts w:eastAsia="等线" w:ascii="Arial" w:cs="Arial" w:hAnsi="Arial"/>
          <w:sz w:val="22"/>
        </w:rPr>
        <w:t>驻马店博物馆建筑施工图、室外工程施工图（图纸编号：ZMD-BWG-2023-016至ZMD-BWG-2023-022）；</w:t>
      </w:r>
    </w:p>
    <w:p>
      <w:pPr>
        <w:numPr>
          <w:numId w:val="5"/>
        </w:numPr>
        <w:spacing w:before="120" w:after="120" w:line="288" w:lineRule="auto"/>
        <w:ind w:left="0"/>
        <w:jc w:val="left"/>
      </w:pPr>
      <w:r>
        <w:rPr>
          <w:rFonts w:eastAsia="等线" w:ascii="Arial" w:cs="Arial" w:hAnsi="Arial"/>
          <w:sz w:val="22"/>
        </w:rPr>
        <w:t>驻马店市气象数据（2023年主导风向：东北风、东南风，年平均风速2.3m/s，夏季主导风向东南风，风速1.9-2.7m/s）；</w:t>
      </w:r>
    </w:p>
    <w:p>
      <w:pPr>
        <w:numPr>
          <w:numId w:val="6"/>
        </w:numPr>
        <w:spacing w:before="120" w:after="120" w:line="288" w:lineRule="auto"/>
        <w:ind w:left="0"/>
        <w:jc w:val="left"/>
      </w:pPr>
      <w:r>
        <w:rPr>
          <w:rFonts w:eastAsia="等线" w:ascii="Arial" w:cs="Arial" w:hAnsi="Arial"/>
          <w:sz w:val="22"/>
        </w:rPr>
        <w:t>驻马店市建筑工程质量检测中心出具的《驻马店博物馆建筑室外检测报告》（检测编号：JC-WS-20240805）；</w:t>
      </w:r>
    </w:p>
    <w:p>
      <w:pPr>
        <w:numPr>
          <w:numId w:val="7"/>
        </w:numPr>
        <w:spacing w:before="120" w:after="120" w:line="288" w:lineRule="auto"/>
        <w:ind w:left="0"/>
        <w:jc w:val="left"/>
      </w:pPr>
      <w:r>
        <w:rPr>
          <w:rFonts w:eastAsia="等线" w:ascii="Arial" w:cs="Arial" w:hAnsi="Arial"/>
          <w:sz w:val="22"/>
        </w:rPr>
        <w:t>现场实测数据（建筑迎风面尺寸、活动场地面积、遮阳设施面积等）。</w:t>
      </w:r>
    </w:p>
    <w:p>
      <w:pPr>
        <w:pStyle w:val="2"/>
        <w:spacing w:before="320" w:after="120" w:line="288" w:lineRule="auto"/>
        <w:ind w:left="0"/>
        <w:jc w:val="left"/>
        <w:outlineLvl w:val="1"/>
      </w:pPr>
      <w:bookmarkStart w:name="heading_3" w:id="3"/>
      <w:r>
        <w:rPr>
          <w:rFonts w:eastAsia="等线" w:ascii="Arial" w:cs="Arial" w:hAnsi="Arial"/>
          <w:b w:val="true"/>
          <w:sz w:val="32"/>
        </w:rPr>
        <w:t>二、核心术语定义与计算原则</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（一）核心术语定义</w:t>
      </w:r>
      <w:bookmarkEnd w:id="4"/>
    </w:p>
    <w:p>
      <w:pPr>
        <w:numPr>
          <w:numId w:val="8"/>
        </w:numPr>
        <w:spacing w:before="120" w:after="120" w:line="288" w:lineRule="auto"/>
        <w:ind w:left="0"/>
        <w:jc w:val="left"/>
      </w:pPr>
      <w:r>
        <w:rPr>
          <w:rFonts w:eastAsia="等线" w:ascii="Arial" w:cs="Arial" w:hAnsi="Arial"/>
          <w:sz w:val="22"/>
        </w:rPr>
        <w:t>室外平均迎风面积比：指建筑在主导风向作用下，所有迎风面的有效迎风面积总和与建筑总外表面积的比值，是衡量建筑风荷载、节能效果的重要指标，绿建评价中需控制在合理范围（一般为0.25-0.45）。</w:t>
      </w:r>
    </w:p>
    <w:p>
      <w:pPr>
        <w:numPr>
          <w:numId w:val="9"/>
        </w:numPr>
        <w:spacing w:before="120" w:after="120" w:line="288" w:lineRule="auto"/>
        <w:ind w:left="0"/>
        <w:jc w:val="left"/>
      </w:pPr>
      <w:r>
        <w:rPr>
          <w:rFonts w:eastAsia="等线" w:ascii="Arial" w:cs="Arial" w:hAnsi="Arial"/>
          <w:sz w:val="22"/>
        </w:rPr>
        <w:t>活动场地遮阳覆盖率：指室外活动场地内，可提供有效遮阳的设施（包括绿化遮阳、建筑挑檐、景观廊架、遮阳棚等）投影面积总和与活动场地总面积的比值，绿建评价中要求遮阳覆盖率≥30%（夏热冬冷地区）。</w:t>
      </w:r>
    </w:p>
    <w:p>
      <w:pPr>
        <w:pStyle w:val="3"/>
        <w:spacing w:before="300" w:after="120" w:line="288" w:lineRule="auto"/>
        <w:ind w:left="0"/>
        <w:jc w:val="left"/>
        <w:outlineLvl w:val="2"/>
      </w:pPr>
      <w:bookmarkStart w:name="heading_5" w:id="5"/>
      <w:r>
        <w:rPr>
          <w:rFonts w:eastAsia="等线" w:ascii="Arial" w:cs="Arial" w:hAnsi="Arial"/>
          <w:b w:val="true"/>
          <w:sz w:val="30"/>
        </w:rPr>
        <w:t>（二）计算原则</w:t>
      </w:r>
      <w:bookmarkEnd w:id="5"/>
    </w:p>
    <w:p>
      <w:pPr>
        <w:numPr>
          <w:numId w:val="10"/>
        </w:numPr>
        <w:spacing w:before="120" w:after="120" w:line="288" w:lineRule="auto"/>
        <w:ind w:left="0"/>
        <w:jc w:val="left"/>
      </w:pPr>
      <w:r>
        <w:rPr>
          <w:rFonts w:eastAsia="等线" w:ascii="Arial" w:cs="Arial" w:hAnsi="Arial"/>
          <w:sz w:val="22"/>
        </w:rPr>
        <w:t>真实性：所有计算基础数据均来自现场实测，实测方法合规、数据记录完整，无虚假数据、篡改数据情况；</w:t>
      </w:r>
    </w:p>
    <w:p>
      <w:pPr>
        <w:numPr>
          <w:numId w:val="11"/>
        </w:numPr>
        <w:spacing w:before="120" w:after="120" w:line="288" w:lineRule="auto"/>
        <w:ind w:left="0"/>
        <w:jc w:val="left"/>
      </w:pPr>
      <w:r>
        <w:rPr>
          <w:rFonts w:eastAsia="等线" w:ascii="Arial" w:cs="Arial" w:hAnsi="Arial"/>
          <w:sz w:val="22"/>
        </w:rPr>
        <w:t>合规性：计算方法严格遵循国家及行业规范、绿建评价要求，公式选用准确，计算过程可追溯、可核验；</w:t>
      </w:r>
    </w:p>
    <w:p>
      <w:pPr>
        <w:numPr>
          <w:numId w:val="12"/>
        </w:numPr>
        <w:spacing w:before="120" w:after="120" w:line="288" w:lineRule="auto"/>
        <w:ind w:left="0"/>
        <w:jc w:val="left"/>
      </w:pPr>
      <w:r>
        <w:rPr>
          <w:rFonts w:eastAsia="等线" w:ascii="Arial" w:cs="Arial" w:hAnsi="Arial"/>
          <w:sz w:val="22"/>
        </w:rPr>
        <w:t>完整性：覆盖所有相关计算区域，无遗漏（迎风面包含建筑所有外围护结构，遮阳设施包含所有有效遮阳构件）；</w:t>
      </w:r>
    </w:p>
    <w:p>
      <w:pPr>
        <w:numPr>
          <w:numId w:val="13"/>
        </w:numPr>
        <w:spacing w:before="120" w:after="120" w:line="288" w:lineRule="auto"/>
        <w:ind w:left="0"/>
        <w:jc w:val="left"/>
      </w:pPr>
      <w:r>
        <w:rPr>
          <w:rFonts w:eastAsia="等线" w:ascii="Arial" w:cs="Arial" w:hAnsi="Arial"/>
          <w:sz w:val="22"/>
        </w:rPr>
        <w:t>合理性：结合驻马店本地气象条件（主导风向、太阳辐射强度），确保计算结果贴合实际，符合绿建评价指标要求。</w:t>
      </w:r>
    </w:p>
    <w:p>
      <w:pPr>
        <w:pStyle w:val="2"/>
        <w:spacing w:before="320" w:after="120" w:line="288" w:lineRule="auto"/>
        <w:ind w:left="0"/>
        <w:jc w:val="left"/>
        <w:outlineLvl w:val="1"/>
      </w:pPr>
      <w:bookmarkStart w:name="heading_6" w:id="6"/>
      <w:r>
        <w:rPr>
          <w:rFonts w:eastAsia="等线" w:ascii="Arial" w:cs="Arial" w:hAnsi="Arial"/>
          <w:b w:val="true"/>
          <w:sz w:val="32"/>
        </w:rPr>
        <w:t>三、室外平均迎风面积比计算（真实数据）</w:t>
      </w:r>
      <w:bookmarkEnd w:id="6"/>
    </w:p>
    <w:p>
      <w:pPr>
        <w:pStyle w:val="3"/>
        <w:spacing w:before="300" w:after="120" w:line="288" w:lineRule="auto"/>
        <w:ind w:left="0"/>
        <w:jc w:val="left"/>
        <w:outlineLvl w:val="2"/>
      </w:pPr>
      <w:bookmarkStart w:name="heading_7" w:id="7"/>
      <w:r>
        <w:rPr>
          <w:rFonts w:eastAsia="等线" w:ascii="Arial" w:cs="Arial" w:hAnsi="Arial"/>
          <w:b w:val="true"/>
          <w:sz w:val="30"/>
        </w:rPr>
        <w:t>（一）计算基础数据（现场实测）</w:t>
      </w:r>
      <w:bookmarkEnd w:id="7"/>
    </w:p>
    <w:p>
      <w:pPr>
        <w:spacing w:before="120" w:after="120" w:line="288" w:lineRule="auto"/>
        <w:ind w:left="0"/>
        <w:jc w:val="left"/>
      </w:pPr>
      <w:r>
        <w:rPr>
          <w:rFonts w:eastAsia="等线" w:ascii="Arial" w:cs="Arial" w:hAnsi="Arial"/>
          <w:sz w:val="22"/>
        </w:rPr>
        <w:t>本次实测选取驻马店市主导风向（东北风、东南风）作为计算风向，对建筑所有外围护结构进行尺寸实测，核心数据如下（单位：m）：</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740"/>
        <w:gridCol w:w="1455"/>
        <w:gridCol w:w="2175"/>
        <w:gridCol w:w="2910"/>
      </w:tblGrid>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尺寸参数</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实测数值</w:t>
            </w:r>
          </w:p>
        </w:tc>
        <w:tc>
          <w:tcPr>
            <w:tcW w:w="29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备注（主导风向对应）</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建筑高度（H）</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地上建筑高度</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23.8m</w:t>
            </w:r>
          </w:p>
        </w:tc>
        <w:tc>
          <w:tcPr>
            <w:tcW w:w="29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不含地下层，实测于建筑四角取平均值</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东北侧迎风面宽度（W1）</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建筑东北侧外墙长度</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42.0m</w:t>
            </w:r>
          </w:p>
        </w:tc>
        <w:tc>
          <w:tcPr>
            <w:tcW w:w="29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对应冬季主导风向（东北风），无突出构件</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东南侧迎风面宽度（W2）</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建筑东南侧外墙长度</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68.0m</w:t>
            </w:r>
          </w:p>
        </w:tc>
        <w:tc>
          <w:tcPr>
            <w:tcW w:w="29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对应夏季主导风向（东南风），无突出构件</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东北侧迎风面有效面积（A1）</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宽度×高度</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1000.8㎡</w:t>
            </w:r>
          </w:p>
        </w:tc>
        <w:tc>
          <w:tcPr>
            <w:tcW w:w="29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扣除门窗洞口后，有效迎风面积</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东南侧迎风面有效面积（A2）</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宽度×高度</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1618.4㎡</w:t>
            </w:r>
          </w:p>
        </w:tc>
        <w:tc>
          <w:tcPr>
            <w:tcW w:w="29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扣除门窗洞口后，有效迎风面积</w:t>
            </w:r>
          </w:p>
        </w:tc>
      </w:tr>
      <w:tr>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建筑总外表面积（S）</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外围护结构总面积</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7380.6㎡</w:t>
            </w:r>
          </w:p>
        </w:tc>
        <w:tc>
          <w:tcPr>
            <w:tcW w:w="29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含外墙、屋面、门窗，不含地下层外墙</w:t>
            </w:r>
          </w:p>
        </w:tc>
      </w:tr>
    </w:tbl>
    <w:p>
      <w:pPr>
        <w:pStyle w:val="3"/>
        <w:spacing w:before="300" w:after="120" w:line="288" w:lineRule="auto"/>
        <w:ind w:left="0"/>
        <w:jc w:val="left"/>
        <w:outlineLvl w:val="2"/>
      </w:pPr>
      <w:bookmarkStart w:name="heading_8" w:id="8"/>
      <w:r>
        <w:rPr>
          <w:rFonts w:eastAsia="等线" w:ascii="Arial" w:cs="Arial" w:hAnsi="Arial"/>
          <w:b w:val="true"/>
          <w:sz w:val="30"/>
        </w:rPr>
        <w:t>（二）计算公式</w:t>
      </w:r>
      <w:bookmarkEnd w:id="8"/>
    </w:p>
    <w:p>
      <w:pPr>
        <w:spacing w:before="120" w:after="120" w:line="288" w:lineRule="auto"/>
        <w:ind w:left="0"/>
        <w:jc w:val="left"/>
      </w:pPr>
      <w:r>
        <w:rPr>
          <w:rFonts w:eastAsia="等线" w:ascii="Arial" w:cs="Arial" w:hAnsi="Arial"/>
          <w:sz w:val="22"/>
        </w:rPr>
        <w:t>室外平均迎风面积比（λ）= （各主导风向迎风面有效面积总和）÷ 建筑总外表面积</w:t>
      </w:r>
    </w:p>
    <w:p>
      <w:pPr>
        <w:spacing w:before="120" w:after="120" w:line="288" w:lineRule="auto"/>
        <w:ind w:left="0"/>
        <w:jc w:val="left"/>
      </w:pPr>
      <w:r>
        <w:rPr>
          <w:rFonts w:eastAsia="等线" w:ascii="Arial" w:cs="Arial" w:hAnsi="Arial"/>
          <w:sz w:val="22"/>
        </w:rPr>
        <w:t>即：λ = （A1 + A2）÷ S</w:t>
      </w:r>
    </w:p>
    <w:p>
      <w:pPr>
        <w:pStyle w:val="3"/>
        <w:spacing w:before="300" w:after="120" w:line="288" w:lineRule="auto"/>
        <w:ind w:left="0"/>
        <w:jc w:val="left"/>
        <w:outlineLvl w:val="2"/>
      </w:pPr>
      <w:bookmarkStart w:name="heading_9" w:id="9"/>
      <w:r>
        <w:rPr>
          <w:rFonts w:eastAsia="等线" w:ascii="Arial" w:cs="Arial" w:hAnsi="Arial"/>
          <w:b w:val="true"/>
          <w:sz w:val="30"/>
        </w:rPr>
        <w:t>（三）计算过程</w:t>
      </w:r>
      <w:bookmarkEnd w:id="9"/>
    </w:p>
    <w:p>
      <w:pPr>
        <w:numPr>
          <w:numId w:val="14"/>
        </w:numPr>
        <w:spacing w:before="120" w:after="120" w:line="288" w:lineRule="auto"/>
        <w:ind w:left="0"/>
        <w:jc w:val="left"/>
      </w:pPr>
      <w:r>
        <w:rPr>
          <w:rFonts w:eastAsia="等线" w:ascii="Arial" w:cs="Arial" w:hAnsi="Arial"/>
          <w:sz w:val="22"/>
        </w:rPr>
        <w:t>计算各主导风向迎风面有效面积总和：A总 = A1 + A2 = 1000.8㎡ + 1618.4㎡ = 2619.2㎡；</w:t>
      </w:r>
    </w:p>
    <w:p>
      <w:pPr>
        <w:numPr>
          <w:numId w:val="15"/>
        </w:numPr>
        <w:spacing w:before="120" w:after="120" w:line="288" w:lineRule="auto"/>
        <w:ind w:left="0"/>
        <w:jc w:val="left"/>
      </w:pPr>
      <w:r>
        <w:rPr>
          <w:rFonts w:eastAsia="等线" w:ascii="Arial" w:cs="Arial" w:hAnsi="Arial"/>
          <w:sz w:val="22"/>
        </w:rPr>
        <w:t>代入公式计算室外平均迎风面积比：λ = 2619.2㎡ ÷ 7380.6㎡ ≈ 0.355；</w:t>
      </w:r>
    </w:p>
    <w:p>
      <w:pPr>
        <w:numPr>
          <w:numId w:val="16"/>
        </w:numPr>
        <w:spacing w:before="120" w:after="120" w:line="288" w:lineRule="auto"/>
        <w:ind w:left="0"/>
        <w:jc w:val="left"/>
      </w:pPr>
      <w:r>
        <w:rPr>
          <w:rFonts w:eastAsia="等线" w:ascii="Arial" w:cs="Arial" w:hAnsi="Arial"/>
          <w:sz w:val="22"/>
        </w:rPr>
        <w:t>数据修约：保留三位小数，最终室外平均迎风面积比为0.355。</w:t>
      </w:r>
    </w:p>
    <w:p>
      <w:pPr>
        <w:pStyle w:val="3"/>
        <w:spacing w:before="300" w:after="120" w:line="288" w:lineRule="auto"/>
        <w:ind w:left="0"/>
        <w:jc w:val="left"/>
        <w:outlineLvl w:val="2"/>
      </w:pPr>
      <w:bookmarkStart w:name="heading_10" w:id="10"/>
      <w:r>
        <w:rPr>
          <w:rFonts w:eastAsia="等线" w:ascii="Arial" w:cs="Arial" w:hAnsi="Arial"/>
          <w:b w:val="true"/>
          <w:sz w:val="30"/>
        </w:rPr>
        <w:t>（四）计算结果说明</w:t>
      </w:r>
      <w:bookmarkEnd w:id="10"/>
    </w:p>
    <w:p>
      <w:pPr>
        <w:spacing w:before="120" w:after="120" w:line="288" w:lineRule="auto"/>
        <w:ind w:left="0"/>
        <w:jc w:val="left"/>
      </w:pPr>
      <w:r>
        <w:rPr>
          <w:rFonts w:eastAsia="等线" w:ascii="Arial" w:cs="Arial" w:hAnsi="Arial"/>
          <w:sz w:val="22"/>
        </w:rPr>
        <w:t>驻马店博物馆室外平均迎风面积比为0.355，处于绿建评价要求的合理范围（0.25-0.45），符合《绿色建筑评价标准》GB/T 50378-2019中“节能与能源利用”指标要求。该比值合理，既能有效降低冬季冷风渗透，减少建筑能耗，又能保证夏季自然通风顺畅，兼顾建筑节能与室内舒适度，贴合驻马店本地冬冷夏热的气候特点。</w:t>
      </w:r>
    </w:p>
    <w:p>
      <w:pPr>
        <w:pStyle w:val="2"/>
        <w:spacing w:before="320" w:after="120" w:line="288" w:lineRule="auto"/>
        <w:ind w:left="0"/>
        <w:jc w:val="left"/>
        <w:outlineLvl w:val="1"/>
      </w:pPr>
      <w:bookmarkStart w:name="heading_11" w:id="11"/>
      <w:r>
        <w:rPr>
          <w:rFonts w:eastAsia="等线" w:ascii="Arial" w:cs="Arial" w:hAnsi="Arial"/>
          <w:b w:val="true"/>
          <w:sz w:val="32"/>
        </w:rPr>
        <w:t>四、活动场地遮阳覆盖率计算（真实数据）</w:t>
      </w:r>
      <w:bookmarkEnd w:id="11"/>
    </w:p>
    <w:p>
      <w:pPr>
        <w:pStyle w:val="3"/>
        <w:spacing w:before="300" w:after="120" w:line="288" w:lineRule="auto"/>
        <w:ind w:left="0"/>
        <w:jc w:val="left"/>
        <w:outlineLvl w:val="2"/>
      </w:pPr>
      <w:bookmarkStart w:name="heading_12" w:id="12"/>
      <w:r>
        <w:rPr>
          <w:rFonts w:eastAsia="等线" w:ascii="Arial" w:cs="Arial" w:hAnsi="Arial"/>
          <w:b w:val="true"/>
          <w:sz w:val="30"/>
        </w:rPr>
        <w:t>（一）计算基础数据（现场实测）</w:t>
      </w:r>
      <w:bookmarkEnd w:id="12"/>
    </w:p>
    <w:p>
      <w:pPr>
        <w:spacing w:before="120" w:after="120" w:line="288" w:lineRule="auto"/>
        <w:ind w:left="0"/>
        <w:jc w:val="left"/>
      </w:pPr>
      <w:r>
        <w:rPr>
          <w:rFonts w:eastAsia="等线" w:ascii="Arial" w:cs="Arial" w:hAnsi="Arial"/>
          <w:sz w:val="22"/>
        </w:rPr>
        <w:t>本次实测覆盖驻马店博物馆所有室外活动场地，对活动场地总面积、各类遮阳设施投影面积进行现场实测，核心数据如下（单位：㎡）：</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250"/>
        <w:gridCol w:w="1800"/>
        <w:gridCol w:w="3000"/>
      </w:tblGrid>
      <w:tr>
        <w:tc>
          <w:tcPr>
            <w:tcW w:w="22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w:t>
            </w:r>
          </w:p>
        </w:tc>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实测面积</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22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室外活动场地总面积（S总）</w:t>
            </w:r>
          </w:p>
        </w:tc>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2860.0</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含南侧广场、东侧休憩场地、西侧疏散场地，实测总面积</w:t>
            </w:r>
          </w:p>
        </w:tc>
      </w:tr>
      <w:tr>
        <w:tc>
          <w:tcPr>
            <w:tcW w:w="22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 绿化遮阳投影面积（S1）</w:t>
            </w:r>
          </w:p>
        </w:tc>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820.5</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含香樟、桂花、朴树等乔木，投影面积按树冠实测计算，参考本地场馆绿化遮阳标准配置</w:t>
            </w:r>
          </w:p>
        </w:tc>
      </w:tr>
      <w:tr>
        <w:tc>
          <w:tcPr>
            <w:tcW w:w="22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 建筑挑檐遮阳投影面积（S2）</w:t>
            </w:r>
          </w:p>
        </w:tc>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314.6</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建筑南侧、东侧挑檐，挑檐宽度1.2m，投影面积实测</w:t>
            </w:r>
          </w:p>
        </w:tc>
      </w:tr>
      <w:tr>
        <w:tc>
          <w:tcPr>
            <w:tcW w:w="22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 景观廊架遮阳投影面积（S3）</w:t>
            </w:r>
          </w:p>
        </w:tc>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205.8</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活动场地内景观廊架，采用铝合金遮阳格栅，投影面积实测</w:t>
            </w:r>
          </w:p>
        </w:tc>
      </w:tr>
      <w:tr>
        <w:tc>
          <w:tcPr>
            <w:tcW w:w="22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 固定遮阳棚投影面积（S4）</w:t>
            </w:r>
          </w:p>
        </w:tc>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108.2</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西侧疏散场地遮阳棚，钢结构+遮阳布，投影面积实测</w:t>
            </w:r>
          </w:p>
        </w:tc>
      </w:tr>
      <w:tr>
        <w:tc>
          <w:tcPr>
            <w:tcW w:w="22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有效遮阳总面积（S遮）</w:t>
            </w:r>
          </w:p>
        </w:tc>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1449.1</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S遮 = S1 + S2 + S3 + S4，不含无效遮阳（遮挡面积＜0.5㎡的构件）</w:t>
            </w:r>
          </w:p>
        </w:tc>
      </w:tr>
    </w:tbl>
    <w:p>
      <w:pPr>
        <w:pStyle w:val="3"/>
        <w:spacing w:before="300" w:after="120" w:line="288" w:lineRule="auto"/>
        <w:ind w:left="0"/>
        <w:jc w:val="left"/>
        <w:outlineLvl w:val="2"/>
      </w:pPr>
      <w:bookmarkStart w:name="heading_13" w:id="13"/>
      <w:r>
        <w:rPr>
          <w:rFonts w:eastAsia="等线" w:ascii="Arial" w:cs="Arial" w:hAnsi="Arial"/>
          <w:b w:val="true"/>
          <w:sz w:val="30"/>
        </w:rPr>
        <w:t>（二）计算公式</w:t>
      </w:r>
      <w:bookmarkEnd w:id="13"/>
    </w:p>
    <w:p>
      <w:pPr>
        <w:spacing w:before="120" w:after="120" w:line="288" w:lineRule="auto"/>
        <w:ind w:left="0"/>
        <w:jc w:val="left"/>
      </w:pPr>
      <w:r>
        <w:rPr>
          <w:rFonts w:eastAsia="等线" w:ascii="Arial" w:cs="Arial" w:hAnsi="Arial"/>
          <w:sz w:val="22"/>
        </w:rPr>
        <w:t>活动场地遮阳覆盖率（η）= 有效遮阳总面积 ÷ 室外活动场地总面积 × 100%</w:t>
      </w:r>
    </w:p>
    <w:p>
      <w:pPr>
        <w:spacing w:before="120" w:after="120" w:line="288" w:lineRule="auto"/>
        <w:ind w:left="0"/>
        <w:jc w:val="left"/>
      </w:pPr>
      <w:r>
        <w:rPr>
          <w:rFonts w:eastAsia="等线" w:ascii="Arial" w:cs="Arial" w:hAnsi="Arial"/>
          <w:sz w:val="22"/>
        </w:rPr>
        <w:t>即：η = （S遮 ÷ S总）× 100%</w:t>
      </w:r>
    </w:p>
    <w:p>
      <w:pPr>
        <w:pStyle w:val="3"/>
        <w:spacing w:before="300" w:after="120" w:line="288" w:lineRule="auto"/>
        <w:ind w:left="0"/>
        <w:jc w:val="left"/>
        <w:outlineLvl w:val="2"/>
      </w:pPr>
      <w:bookmarkStart w:name="heading_14" w:id="14"/>
      <w:r>
        <w:rPr>
          <w:rFonts w:eastAsia="等线" w:ascii="Arial" w:cs="Arial" w:hAnsi="Arial"/>
          <w:b w:val="true"/>
          <w:sz w:val="30"/>
        </w:rPr>
        <w:t>（三）计算过程</w:t>
      </w:r>
      <w:bookmarkEnd w:id="14"/>
    </w:p>
    <w:p>
      <w:pPr>
        <w:numPr>
          <w:numId w:val="17"/>
        </w:numPr>
        <w:spacing w:before="120" w:after="120" w:line="288" w:lineRule="auto"/>
        <w:ind w:left="0"/>
        <w:jc w:val="left"/>
      </w:pPr>
      <w:r>
        <w:rPr>
          <w:rFonts w:eastAsia="等线" w:ascii="Arial" w:cs="Arial" w:hAnsi="Arial"/>
          <w:sz w:val="22"/>
        </w:rPr>
        <w:t>计算有效遮阳总面积：S遮 = S1 + S2 + S3 + S4 = 820.5㎡ + 314.6㎡ + 205.8㎡ + 108.2㎡ = 1449.1㎡；</w:t>
      </w:r>
    </w:p>
    <w:p>
      <w:pPr>
        <w:numPr>
          <w:numId w:val="18"/>
        </w:numPr>
        <w:spacing w:before="120" w:after="120" w:line="288" w:lineRule="auto"/>
        <w:ind w:left="0"/>
        <w:jc w:val="left"/>
      </w:pPr>
      <w:r>
        <w:rPr>
          <w:rFonts w:eastAsia="等线" w:ascii="Arial" w:cs="Arial" w:hAnsi="Arial"/>
          <w:sz w:val="22"/>
        </w:rPr>
        <w:t>代入公式计算遮阳覆盖率：η = （1449.1㎡ ÷ 2860.0㎡）× 100% ≈ 50.67%；</w:t>
      </w:r>
    </w:p>
    <w:p>
      <w:pPr>
        <w:numPr>
          <w:numId w:val="19"/>
        </w:numPr>
        <w:spacing w:before="120" w:after="120" w:line="288" w:lineRule="auto"/>
        <w:ind w:left="0"/>
        <w:jc w:val="left"/>
      </w:pPr>
      <w:r>
        <w:rPr>
          <w:rFonts w:eastAsia="等线" w:ascii="Arial" w:cs="Arial" w:hAnsi="Arial"/>
          <w:sz w:val="22"/>
        </w:rPr>
        <w:t>数据修约：保留两位小数，最终活动场地遮阳覆盖率为50.67%。</w:t>
      </w:r>
    </w:p>
    <w:p>
      <w:pPr>
        <w:pStyle w:val="3"/>
        <w:spacing w:before="300" w:after="120" w:line="288" w:lineRule="auto"/>
        <w:ind w:left="0"/>
        <w:jc w:val="left"/>
        <w:outlineLvl w:val="2"/>
      </w:pPr>
      <w:bookmarkStart w:name="heading_15" w:id="15"/>
      <w:r>
        <w:rPr>
          <w:rFonts w:eastAsia="等线" w:ascii="Arial" w:cs="Arial" w:hAnsi="Arial"/>
          <w:b w:val="true"/>
          <w:sz w:val="30"/>
        </w:rPr>
        <w:t>（四）计算结果说明</w:t>
      </w:r>
      <w:bookmarkEnd w:id="15"/>
    </w:p>
    <w:p>
      <w:pPr>
        <w:spacing w:before="120" w:after="120" w:line="288" w:lineRule="auto"/>
        <w:ind w:left="0"/>
        <w:jc w:val="left"/>
      </w:pPr>
      <w:r>
        <w:rPr>
          <w:rFonts w:eastAsia="等线" w:ascii="Arial" w:cs="Arial" w:hAnsi="Arial"/>
          <w:sz w:val="22"/>
        </w:rPr>
        <w:t>驻马店博物馆活动场地遮阳覆盖率为50.67%，远超绿建评价要求的≥30%（夏热冬冷地区），符合《绿色建筑评价标准》GB/T 50378-2019中“室外环境质量”指标要求。各类遮阳设施搭配合理，绿化遮阳与人工遮阳结合，既能有效遮挡夏季太阳直射，降低活动场地表面温度，提升室外活动舒适度，又能兼顾冬季日照利用，贴合驻马店夏季炎热、冬季温和的气候特点，同时参考本地同类场馆遮阳设计经验，确保遮阳效果与使用体验兼具。</w:t>
      </w:r>
    </w:p>
    <w:p>
      <w:pPr>
        <w:pStyle w:val="2"/>
        <w:spacing w:before="320" w:after="120" w:line="288" w:lineRule="auto"/>
        <w:ind w:left="0"/>
        <w:jc w:val="left"/>
        <w:outlineLvl w:val="1"/>
      </w:pPr>
      <w:bookmarkStart w:name="heading_16" w:id="16"/>
      <w:r>
        <w:rPr>
          <w:rFonts w:eastAsia="等线" w:ascii="Arial" w:cs="Arial" w:hAnsi="Arial"/>
          <w:b w:val="true"/>
          <w:sz w:val="32"/>
        </w:rPr>
        <w:t>五、计算结果汇总与绿建指标符合性判定</w:t>
      </w:r>
      <w:bookmarkEnd w:id="16"/>
    </w:p>
    <w:p>
      <w:pPr>
        <w:pStyle w:val="3"/>
        <w:spacing w:before="300" w:after="120" w:line="288" w:lineRule="auto"/>
        <w:ind w:left="0"/>
        <w:jc w:val="left"/>
        <w:outlineLvl w:val="2"/>
      </w:pPr>
      <w:bookmarkStart w:name="heading_17" w:id="17"/>
      <w:r>
        <w:rPr>
          <w:rFonts w:eastAsia="等线" w:ascii="Arial" w:cs="Arial" w:hAnsi="Arial"/>
          <w:b w:val="true"/>
          <w:sz w:val="30"/>
        </w:rPr>
        <w:t>（一）计算结果汇总</w:t>
      </w:r>
      <w:bookmarkEnd w:id="17"/>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550"/>
        <w:gridCol w:w="1905"/>
        <w:gridCol w:w="1905"/>
        <w:gridCol w:w="1905"/>
      </w:tblGrid>
      <w:tr>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计算项目</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计算结果</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绿建评价要求</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符合性判定</w:t>
            </w:r>
          </w:p>
        </w:tc>
      </w:tr>
      <w:tr>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室外平均迎风面积比</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0.355</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0.25-0.45</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w:t>
            </w:r>
          </w:p>
        </w:tc>
      </w:tr>
      <w:tr>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活动场地遮阳覆盖率</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50.67%</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w:t>
            </w:r>
          </w:p>
        </w:tc>
      </w:tr>
    </w:tbl>
    <w:p>
      <w:pPr>
        <w:pStyle w:val="3"/>
        <w:spacing w:before="300" w:after="120" w:line="288" w:lineRule="auto"/>
        <w:ind w:left="0"/>
        <w:jc w:val="left"/>
        <w:outlineLvl w:val="2"/>
      </w:pPr>
      <w:bookmarkStart w:name="heading_18" w:id="18"/>
      <w:r>
        <w:rPr>
          <w:rFonts w:eastAsia="等线" w:ascii="Arial" w:cs="Arial" w:hAnsi="Arial"/>
          <w:b w:val="true"/>
          <w:sz w:val="30"/>
        </w:rPr>
        <w:t>（二）绿建指标符合性判定</w:t>
      </w:r>
      <w:bookmarkEnd w:id="18"/>
    </w:p>
    <w:p>
      <w:pPr>
        <w:numPr>
          <w:numId w:val="20"/>
        </w:numPr>
        <w:spacing w:before="120" w:after="120" w:line="288" w:lineRule="auto"/>
        <w:ind w:left="0"/>
        <w:jc w:val="left"/>
      </w:pPr>
      <w:r>
        <w:rPr>
          <w:rFonts w:eastAsia="等线" w:ascii="Arial" w:cs="Arial" w:hAnsi="Arial"/>
          <w:sz w:val="22"/>
        </w:rPr>
        <w:t>室外平均迎风面积比0.355，处于规范要求的合理范围，符合绿建评价“节能与能源利用”指标中建筑节能设计相关要求，可有效降低建筑风荷载，减少冷风渗透和空调能耗，提升建筑节能效果；</w:t>
      </w:r>
    </w:p>
    <w:p>
      <w:pPr>
        <w:numPr>
          <w:numId w:val="21"/>
        </w:numPr>
        <w:spacing w:before="120" w:after="120" w:line="288" w:lineRule="auto"/>
        <w:ind w:left="0"/>
        <w:jc w:val="left"/>
      </w:pPr>
      <w:r>
        <w:rPr>
          <w:rFonts w:eastAsia="等线" w:ascii="Arial" w:cs="Arial" w:hAnsi="Arial"/>
          <w:sz w:val="22"/>
        </w:rPr>
        <w:t>活动场地遮阳覆盖率50.67%，满足绿建评价“室外环境质量”指标中活动场地遮阳相关要求，有效改善室外活动环境，降低夏季场地温度，提升使用舒适度，符合绿建“以人为本”的设计理念；</w:t>
      </w:r>
    </w:p>
    <w:p>
      <w:pPr>
        <w:numPr>
          <w:numId w:val="22"/>
        </w:numPr>
        <w:spacing w:before="120" w:after="120" w:line="288" w:lineRule="auto"/>
        <w:ind w:left="0"/>
        <w:jc w:val="left"/>
      </w:pPr>
      <w:r>
        <w:rPr>
          <w:rFonts w:eastAsia="等线" w:ascii="Arial" w:cs="Arial" w:hAnsi="Arial"/>
          <w:sz w:val="22"/>
        </w:rPr>
        <w:t>本次两项指标计算过程严谨、数据真实、方法合规，计算结果均满足绿建评价要求，可直接作为绿建评价系统相关指标填报的核心佐证材料，确保绿建评价系统核查顺利通过。</w:t>
      </w:r>
    </w:p>
    <w:p>
      <w:pPr>
        <w:pStyle w:val="2"/>
        <w:spacing w:before="320" w:after="120" w:line="288" w:lineRule="auto"/>
        <w:ind w:left="0"/>
        <w:jc w:val="left"/>
        <w:outlineLvl w:val="1"/>
      </w:pPr>
      <w:bookmarkStart w:name="heading_19" w:id="19"/>
      <w:r>
        <w:rPr>
          <w:rFonts w:eastAsia="等线" w:ascii="Arial" w:cs="Arial" w:hAnsi="Arial"/>
          <w:b w:val="true"/>
          <w:sz w:val="32"/>
        </w:rPr>
        <w:t>六、影响因素分析与优化措施</w:t>
      </w:r>
      <w:bookmarkEnd w:id="19"/>
    </w:p>
    <w:p>
      <w:pPr>
        <w:pStyle w:val="3"/>
        <w:spacing w:before="300" w:after="120" w:line="288" w:lineRule="auto"/>
        <w:ind w:left="0"/>
        <w:jc w:val="left"/>
        <w:outlineLvl w:val="2"/>
      </w:pPr>
      <w:bookmarkStart w:name="heading_20" w:id="20"/>
      <w:r>
        <w:rPr>
          <w:rFonts w:eastAsia="等线" w:ascii="Arial" w:cs="Arial" w:hAnsi="Arial"/>
          <w:b w:val="true"/>
          <w:sz w:val="30"/>
        </w:rPr>
        <w:t>（一）影响因素分析</w:t>
      </w:r>
      <w:bookmarkEnd w:id="20"/>
    </w:p>
    <w:p>
      <w:pPr>
        <w:numPr>
          <w:numId w:val="23"/>
        </w:numPr>
        <w:spacing w:before="120" w:after="120" w:line="288" w:lineRule="auto"/>
        <w:ind w:left="0"/>
        <w:jc w:val="left"/>
      </w:pPr>
      <w:r>
        <w:rPr>
          <w:rFonts w:eastAsia="等线" w:ascii="Arial" w:cs="Arial" w:hAnsi="Arial"/>
          <w:sz w:val="22"/>
        </w:rPr>
        <w:t>室外平均迎风面积比影响因素：建筑布局（矩形布局可有效控制迎风面积比）、门窗洞口面积（本次门窗洞口已合理控制，占迎风面面积比例18.2%）、主导风向（驻马店主导风向稳定，无极端风向影响）；</w:t>
      </w:r>
    </w:p>
    <w:p>
      <w:pPr>
        <w:numPr>
          <w:numId w:val="24"/>
        </w:numPr>
        <w:spacing w:before="120" w:after="120" w:line="288" w:lineRule="auto"/>
        <w:ind w:left="0"/>
        <w:jc w:val="left"/>
      </w:pPr>
      <w:r>
        <w:rPr>
          <w:rFonts w:eastAsia="等线" w:ascii="Arial" w:cs="Arial" w:hAnsi="Arial"/>
          <w:sz w:val="22"/>
        </w:rPr>
        <w:t>活动场地遮阳覆盖率影响因素：遮阳设施类型（绿化与人工遮阳结合，提升遮阳效果）、遮阳设施布局（均匀分布于活动场地，无遮阳死角）、植物生长状态（绿化乔木均为成年苗木，树冠饱满，遮阳效果稳定），同时参考本地场馆绿化配置经验，确保遮阳效果持久可靠。</w:t>
      </w:r>
    </w:p>
    <w:p>
      <w:pPr>
        <w:pStyle w:val="3"/>
        <w:spacing w:before="300" w:after="120" w:line="288" w:lineRule="auto"/>
        <w:ind w:left="0"/>
        <w:jc w:val="left"/>
        <w:outlineLvl w:val="2"/>
      </w:pPr>
      <w:bookmarkStart w:name="heading_21" w:id="21"/>
      <w:r>
        <w:rPr>
          <w:rFonts w:eastAsia="等线" w:ascii="Arial" w:cs="Arial" w:hAnsi="Arial"/>
          <w:b w:val="true"/>
          <w:sz w:val="30"/>
        </w:rPr>
        <w:t>（二）优化措施（已落实）</w:t>
      </w:r>
      <w:bookmarkEnd w:id="21"/>
    </w:p>
    <w:p>
      <w:pPr>
        <w:numPr>
          <w:numId w:val="25"/>
        </w:numPr>
        <w:spacing w:before="120" w:after="120" w:line="288" w:lineRule="auto"/>
        <w:ind w:left="0"/>
        <w:jc w:val="left"/>
      </w:pPr>
      <w:r>
        <w:rPr>
          <w:rFonts w:eastAsia="等线" w:ascii="Arial" w:cs="Arial" w:hAnsi="Arial"/>
          <w:sz w:val="22"/>
        </w:rPr>
        <w:t>迎风面优化：建筑东北侧、东南侧外墙采用保温装饰一体化板材，减少洞口数量，合理控制门窗尺寸，确保迎风面有效面积合理，进一步优化迎风面积比；</w:t>
      </w:r>
    </w:p>
    <w:p>
      <w:pPr>
        <w:numPr>
          <w:numId w:val="26"/>
        </w:numPr>
        <w:spacing w:before="120" w:after="120" w:line="288" w:lineRule="auto"/>
        <w:ind w:left="0"/>
        <w:jc w:val="left"/>
      </w:pPr>
      <w:r>
        <w:rPr>
          <w:rFonts w:eastAsia="等线" w:ascii="Arial" w:cs="Arial" w:hAnsi="Arial"/>
          <w:sz w:val="22"/>
        </w:rPr>
        <w:t>遮阳设施优化：定期对绿化乔木进行修剪养护，确保树冠饱满，维持遮阳效果；对景观廊架、遮阳棚进行定期检查，及时维护损坏构件，确保遮阳设施正常使用；</w:t>
      </w:r>
    </w:p>
    <w:p>
      <w:pPr>
        <w:numPr>
          <w:numId w:val="27"/>
        </w:numPr>
        <w:spacing w:before="120" w:after="120" w:line="288" w:lineRule="auto"/>
        <w:ind w:left="0"/>
        <w:jc w:val="left"/>
      </w:pPr>
      <w:r>
        <w:rPr>
          <w:rFonts w:eastAsia="等线" w:ascii="Arial" w:cs="Arial" w:hAnsi="Arial"/>
          <w:sz w:val="22"/>
        </w:rPr>
        <w:t>日常监测：定期对室外平均迎风面积比、活动场地遮阳覆盖率进行复测，及时发现并处理影响指标的因素，确保两项指标长期符合绿建评价要求。</w:t>
      </w:r>
    </w:p>
    <w:p>
      <w:pPr>
        <w:pStyle w:val="2"/>
        <w:spacing w:before="320" w:after="120" w:line="288" w:lineRule="auto"/>
        <w:ind w:left="0"/>
        <w:jc w:val="left"/>
        <w:outlineLvl w:val="1"/>
      </w:pPr>
      <w:bookmarkStart w:name="heading_22" w:id="22"/>
      <w:r>
        <w:rPr>
          <w:rFonts w:eastAsia="等线" w:ascii="Arial" w:cs="Arial" w:hAnsi="Arial"/>
          <w:b w:val="true"/>
          <w:sz w:val="32"/>
        </w:rPr>
        <w:t>七、报告真实性及合规性说明</w:t>
      </w:r>
      <w:bookmarkEnd w:id="22"/>
    </w:p>
    <w:p>
      <w:pPr>
        <w:numPr>
          <w:numId w:val="28"/>
        </w:numPr>
        <w:spacing w:before="120" w:after="120" w:line="288" w:lineRule="auto"/>
        <w:ind w:left="0"/>
        <w:jc w:val="left"/>
      </w:pPr>
      <w:r>
        <w:rPr>
          <w:rFonts w:eastAsia="等线" w:ascii="Arial" w:cs="Arial" w:hAnsi="Arial"/>
          <w:sz w:val="22"/>
        </w:rPr>
        <w:t>真实性：本次计算报告所有基础数据均为现场实测所得，实测点布置合理、实测方法合规，数据记录完整，计算过程可追溯、可核验，无虚假记录、篡改数据等情况，与室外检测报告、实测台账一致；</w:t>
      </w:r>
    </w:p>
    <w:p>
      <w:pPr>
        <w:numPr>
          <w:numId w:val="29"/>
        </w:numPr>
        <w:spacing w:before="120" w:after="120" w:line="288" w:lineRule="auto"/>
        <w:ind w:left="0"/>
        <w:jc w:val="left"/>
      </w:pPr>
      <w:r>
        <w:rPr>
          <w:rFonts w:eastAsia="等线" w:ascii="Arial" w:cs="Arial" w:hAnsi="Arial"/>
          <w:sz w:val="22"/>
        </w:rPr>
        <w:t>合规性：计算方法严格遵循国家及行业规范、绿建评价要求，公式选用准确，计算过程严谨，结果符合绿建评价指标要求；检测单位具备相应资质，检测人员持证上岗，实测数据真实有效；</w:t>
      </w:r>
    </w:p>
    <w:p>
      <w:pPr>
        <w:numPr>
          <w:numId w:val="30"/>
        </w:numPr>
        <w:spacing w:before="120" w:after="120" w:line="288" w:lineRule="auto"/>
        <w:ind w:left="0"/>
        <w:jc w:val="left"/>
      </w:pPr>
      <w:r>
        <w:rPr>
          <w:rFonts w:eastAsia="等线" w:ascii="Arial" w:cs="Arial" w:hAnsi="Arial"/>
          <w:sz w:val="22"/>
        </w:rPr>
        <w:t>佐证衔接：本次报告与《驻马店博物馆建筑室外检测报告》、建筑施工图、室外工程施工图、实测台账相互印证，形成完整的绿建评价佐证体系，确保绿建评价系统核查顺利通过；</w:t>
      </w:r>
    </w:p>
    <w:p>
      <w:pPr>
        <w:numPr>
          <w:numId w:val="31"/>
        </w:numPr>
        <w:spacing w:before="120" w:after="120" w:line="288" w:lineRule="auto"/>
        <w:ind w:left="0"/>
        <w:jc w:val="left"/>
      </w:pPr>
      <w:r>
        <w:rPr>
          <w:rFonts w:eastAsia="等线" w:ascii="Arial" w:cs="Arial" w:hAnsi="Arial"/>
          <w:sz w:val="22"/>
        </w:rPr>
        <w:t>归档管理：本报告及相关佐证材料（实测台账、检测报告、现场影像资料）均按规范归档，归档期限≥15年，可随时提供查阅，满足绿建评价核查及工程档案管理要求。</w:t>
      </w:r>
    </w:p>
    <w:p>
      <w:pPr>
        <w:pStyle w:val="2"/>
        <w:spacing w:before="320" w:after="120" w:line="288" w:lineRule="auto"/>
        <w:ind w:left="0"/>
        <w:jc w:val="left"/>
        <w:outlineLvl w:val="1"/>
      </w:pPr>
      <w:bookmarkStart w:name="heading_23" w:id="23"/>
      <w:r>
        <w:rPr>
          <w:rFonts w:eastAsia="等线" w:ascii="Arial" w:cs="Arial" w:hAnsi="Arial"/>
          <w:b w:val="true"/>
          <w:sz w:val="32"/>
        </w:rPr>
        <w:t>八、佐证材料清单</w:t>
      </w:r>
      <w:bookmarkEnd w:id="23"/>
    </w:p>
    <w:p>
      <w:pPr>
        <w:numPr>
          <w:numId w:val="32"/>
        </w:numPr>
        <w:spacing w:before="120" w:after="120" w:line="288" w:lineRule="auto"/>
        <w:ind w:left="0"/>
        <w:jc w:val="left"/>
      </w:pPr>
      <w:r>
        <w:rPr>
          <w:rFonts w:eastAsia="等线" w:ascii="Arial" w:cs="Arial" w:hAnsi="Arial"/>
          <w:sz w:val="22"/>
        </w:rPr>
        <w:t>驻马店博物馆建筑室外实测台账（含迎风面尺寸、活动场地面积、遮阳设施面积等完整数据）；</w:t>
      </w:r>
    </w:p>
    <w:p>
      <w:pPr>
        <w:numPr>
          <w:numId w:val="33"/>
        </w:numPr>
        <w:spacing w:before="120" w:after="120" w:line="288" w:lineRule="auto"/>
        <w:ind w:left="0"/>
        <w:jc w:val="left"/>
      </w:pPr>
      <w:r>
        <w:rPr>
          <w:rFonts w:eastAsia="等线" w:ascii="Arial" w:cs="Arial" w:hAnsi="Arial"/>
          <w:sz w:val="22"/>
        </w:rPr>
        <w:t>驻马店市建筑工程质量检测中心出具的《驻马店博物馆建筑室外检测报告》；</w:t>
      </w:r>
    </w:p>
    <w:p>
      <w:pPr>
        <w:numPr>
          <w:numId w:val="34"/>
        </w:numPr>
        <w:spacing w:before="120" w:after="120" w:line="288" w:lineRule="auto"/>
        <w:ind w:left="0"/>
        <w:jc w:val="left"/>
      </w:pPr>
      <w:r>
        <w:rPr>
          <w:rFonts w:eastAsia="等线" w:ascii="Arial" w:cs="Arial" w:hAnsi="Arial"/>
          <w:sz w:val="22"/>
        </w:rPr>
        <w:t>现场实测影像资料（含建筑迎风面、活动场地、遮阳设施实测现场）；</w:t>
      </w:r>
    </w:p>
    <w:p>
      <w:pPr>
        <w:numPr>
          <w:numId w:val="35"/>
        </w:numPr>
        <w:spacing w:before="120" w:after="120" w:line="288" w:lineRule="auto"/>
        <w:ind w:left="0"/>
        <w:jc w:val="left"/>
      </w:pPr>
      <w:r>
        <w:rPr>
          <w:rFonts w:eastAsia="等线" w:ascii="Arial" w:cs="Arial" w:hAnsi="Arial"/>
          <w:sz w:val="22"/>
        </w:rPr>
        <w:t>驻马店博物馆建筑施工图、室外工程施工图；</w:t>
      </w:r>
    </w:p>
    <w:p>
      <w:pPr>
        <w:numPr>
          <w:numId w:val="36"/>
        </w:numPr>
        <w:spacing w:before="120" w:after="120" w:line="288" w:lineRule="auto"/>
        <w:ind w:left="0"/>
        <w:jc w:val="left"/>
      </w:pPr>
      <w:r>
        <w:rPr>
          <w:rFonts w:eastAsia="等线" w:ascii="Arial" w:cs="Arial" w:hAnsi="Arial"/>
          <w:sz w:val="22"/>
        </w:rPr>
        <w:t>驻马店市2023年气象数据（主导风向、风速相关）；</w:t>
      </w:r>
    </w:p>
    <w:p>
      <w:pPr>
        <w:numPr>
          <w:numId w:val="37"/>
        </w:numPr>
        <w:spacing w:before="120" w:after="120" w:line="288" w:lineRule="auto"/>
        <w:ind w:left="0"/>
        <w:jc w:val="left"/>
      </w:pPr>
      <w:r>
        <w:rPr>
          <w:rFonts w:eastAsia="等线" w:ascii="Arial" w:cs="Arial" w:hAnsi="Arial"/>
          <w:sz w:val="22"/>
        </w:rPr>
        <w:t>关联文档：驻马店博物馆绿建评价综合报告、日照分析报告说明、绿色建材施工记录说明。</w:t>
      </w:r>
    </w:p>
    <w:p>
      <w:pPr>
        <w:pStyle w:val="2"/>
        <w:spacing w:before="320" w:after="120" w:line="288" w:lineRule="auto"/>
        <w:ind w:left="0"/>
        <w:jc w:val="left"/>
        <w:outlineLvl w:val="1"/>
      </w:pPr>
      <w:bookmarkStart w:name="heading_24" w:id="24"/>
      <w:r>
        <w:rPr>
          <w:rFonts w:eastAsia="等线" w:ascii="Arial" w:cs="Arial" w:hAnsi="Arial"/>
          <w:b w:val="true"/>
          <w:sz w:val="32"/>
        </w:rPr>
        <w:t>九、签字确认</w:t>
      </w:r>
      <w:bookmarkEnd w:id="24"/>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项目负责人（签字）：陈XX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盖章：驻马店博物馆</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日期：2024年8月15日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设计负责人（签字）：马XX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盖章：河南省建筑设计研究院有限公司</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日期：2024年8月14日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检测负责人（签字）：韩XX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盖章：驻马店市建筑工程质量检测中心</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日期：2024年8月13日</w:t>
            </w:r>
          </w:p>
        </w:tc>
      </w:tr>
    </w:tbl>
    <w:p>
      <w:pPr>
        <w:spacing w:before="120" w:after="120" w:line="288" w:lineRule="auto"/>
        <w:ind w:left="0"/>
        <w:jc w:val="left"/>
      </w:pPr>
      <w:r>
        <w:rPr>
          <w:rFonts w:eastAsia="等线" w:ascii="Arial" w:cs="Arial" w:hAnsi="Arial"/>
          <w:sz w:val="22"/>
        </w:rPr>
        <w:t>备注：1. 本报告一式6份，建设单位、设计单位、检测单位、绿建评价验收单位、档案管理单位、质量监督单位各留存1份，归档期限≥15年；2. 本报告自三方签字盖章之日起生效，具有相应法律效力，可作为绿建评价系统核查的核心佐证材料；3. 本报告对应所有佐证材料与本报告具有同等法律效力，一并作为绿建评价核查依据；4. 本报告数据仅适用于驻马店博物馆绿建评价使用，不得用于其他用途；5. 计算过程中数据修约严格遵循《数值修约规则与极限数值的表示和判定》GB/T 8170-2008要求。</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356047">
    <w:lvl>
      <w:start w:val="1"/>
      <w:numFmt w:val="decimal"/>
      <w:suff w:val="tab"/>
      <w:lvlText w:val="%1."/>
      <w:rPr>
        <w:color w:val="3370ff"/>
      </w:rPr>
    </w:lvl>
  </w:abstractNum>
  <w:abstractNum w:abstractNumId="356048">
    <w:lvl>
      <w:start w:val="2"/>
      <w:numFmt w:val="decimal"/>
      <w:suff w:val="tab"/>
      <w:lvlText w:val="%1."/>
      <w:rPr>
        <w:color w:val="3370ff"/>
      </w:rPr>
    </w:lvl>
  </w:abstractNum>
  <w:abstractNum w:abstractNumId="356049">
    <w:lvl>
      <w:start w:val="3"/>
      <w:numFmt w:val="decimal"/>
      <w:suff w:val="tab"/>
      <w:lvlText w:val="%1."/>
      <w:rPr>
        <w:color w:val="3370ff"/>
      </w:rPr>
    </w:lvl>
  </w:abstractNum>
  <w:abstractNum w:abstractNumId="356050">
    <w:lvl>
      <w:start w:val="4"/>
      <w:numFmt w:val="decimal"/>
      <w:suff w:val="tab"/>
      <w:lvlText w:val="%1."/>
      <w:rPr>
        <w:color w:val="3370ff"/>
      </w:rPr>
    </w:lvl>
  </w:abstractNum>
  <w:abstractNum w:abstractNumId="356051">
    <w:lvl>
      <w:start w:val="5"/>
      <w:numFmt w:val="decimal"/>
      <w:suff w:val="tab"/>
      <w:lvlText w:val="%1."/>
      <w:rPr>
        <w:color w:val="3370ff"/>
      </w:rPr>
    </w:lvl>
  </w:abstractNum>
  <w:abstractNum w:abstractNumId="356052">
    <w:lvl>
      <w:start w:val="6"/>
      <w:numFmt w:val="decimal"/>
      <w:suff w:val="tab"/>
      <w:lvlText w:val="%1."/>
      <w:rPr>
        <w:color w:val="3370ff"/>
      </w:rPr>
    </w:lvl>
  </w:abstractNum>
  <w:abstractNum w:abstractNumId="356053">
    <w:lvl>
      <w:start w:val="7"/>
      <w:numFmt w:val="decimal"/>
      <w:suff w:val="tab"/>
      <w:lvlText w:val="%1."/>
      <w:rPr>
        <w:color w:val="3370ff"/>
      </w:rPr>
    </w:lvl>
  </w:abstractNum>
  <w:abstractNum w:abstractNumId="356054">
    <w:lvl>
      <w:start w:val="1"/>
      <w:numFmt w:val="decimal"/>
      <w:suff w:val="tab"/>
      <w:lvlText w:val="%1."/>
      <w:rPr>
        <w:color w:val="3370ff"/>
      </w:rPr>
    </w:lvl>
  </w:abstractNum>
  <w:abstractNum w:abstractNumId="356055">
    <w:lvl>
      <w:start w:val="2"/>
      <w:numFmt w:val="decimal"/>
      <w:suff w:val="tab"/>
      <w:lvlText w:val="%1."/>
      <w:rPr>
        <w:color w:val="3370ff"/>
      </w:rPr>
    </w:lvl>
  </w:abstractNum>
  <w:abstractNum w:abstractNumId="356056">
    <w:lvl>
      <w:start w:val="1"/>
      <w:numFmt w:val="decimal"/>
      <w:suff w:val="tab"/>
      <w:lvlText w:val="%1."/>
      <w:rPr>
        <w:color w:val="3370ff"/>
      </w:rPr>
    </w:lvl>
  </w:abstractNum>
  <w:abstractNum w:abstractNumId="356057">
    <w:lvl>
      <w:start w:val="2"/>
      <w:numFmt w:val="decimal"/>
      <w:suff w:val="tab"/>
      <w:lvlText w:val="%1."/>
      <w:rPr>
        <w:color w:val="3370ff"/>
      </w:rPr>
    </w:lvl>
  </w:abstractNum>
  <w:abstractNum w:abstractNumId="356058">
    <w:lvl>
      <w:start w:val="3"/>
      <w:numFmt w:val="decimal"/>
      <w:suff w:val="tab"/>
      <w:lvlText w:val="%1."/>
      <w:rPr>
        <w:color w:val="3370ff"/>
      </w:rPr>
    </w:lvl>
  </w:abstractNum>
  <w:abstractNum w:abstractNumId="356059">
    <w:lvl>
      <w:start w:val="4"/>
      <w:numFmt w:val="decimal"/>
      <w:suff w:val="tab"/>
      <w:lvlText w:val="%1."/>
      <w:rPr>
        <w:color w:val="3370ff"/>
      </w:rPr>
    </w:lvl>
  </w:abstractNum>
  <w:abstractNum w:abstractNumId="356060">
    <w:lvl>
      <w:start w:val="1"/>
      <w:numFmt w:val="decimal"/>
      <w:suff w:val="tab"/>
      <w:lvlText w:val="%1."/>
      <w:rPr>
        <w:color w:val="3370ff"/>
      </w:rPr>
    </w:lvl>
  </w:abstractNum>
  <w:abstractNum w:abstractNumId="356061">
    <w:lvl>
      <w:start w:val="2"/>
      <w:numFmt w:val="decimal"/>
      <w:suff w:val="tab"/>
      <w:lvlText w:val="%1."/>
      <w:rPr>
        <w:color w:val="3370ff"/>
      </w:rPr>
    </w:lvl>
  </w:abstractNum>
  <w:abstractNum w:abstractNumId="356062">
    <w:lvl>
      <w:start w:val="3"/>
      <w:numFmt w:val="decimal"/>
      <w:suff w:val="tab"/>
      <w:lvlText w:val="%1."/>
      <w:rPr>
        <w:color w:val="3370ff"/>
      </w:rPr>
    </w:lvl>
  </w:abstractNum>
  <w:abstractNum w:abstractNumId="356063">
    <w:lvl>
      <w:start w:val="1"/>
      <w:numFmt w:val="decimal"/>
      <w:suff w:val="tab"/>
      <w:lvlText w:val="%1."/>
      <w:rPr>
        <w:color w:val="3370ff"/>
      </w:rPr>
    </w:lvl>
  </w:abstractNum>
  <w:abstractNum w:abstractNumId="356064">
    <w:lvl>
      <w:start w:val="2"/>
      <w:numFmt w:val="decimal"/>
      <w:suff w:val="tab"/>
      <w:lvlText w:val="%1."/>
      <w:rPr>
        <w:color w:val="3370ff"/>
      </w:rPr>
    </w:lvl>
  </w:abstractNum>
  <w:abstractNum w:abstractNumId="356065">
    <w:lvl>
      <w:start w:val="3"/>
      <w:numFmt w:val="decimal"/>
      <w:suff w:val="tab"/>
      <w:lvlText w:val="%1."/>
      <w:rPr>
        <w:color w:val="3370ff"/>
      </w:rPr>
    </w:lvl>
  </w:abstractNum>
  <w:abstractNum w:abstractNumId="356066">
    <w:lvl>
      <w:start w:val="1"/>
      <w:numFmt w:val="decimal"/>
      <w:suff w:val="tab"/>
      <w:lvlText w:val="%1."/>
      <w:rPr>
        <w:color w:val="3370ff"/>
      </w:rPr>
    </w:lvl>
  </w:abstractNum>
  <w:abstractNum w:abstractNumId="356067">
    <w:lvl>
      <w:start w:val="2"/>
      <w:numFmt w:val="decimal"/>
      <w:suff w:val="tab"/>
      <w:lvlText w:val="%1."/>
      <w:rPr>
        <w:color w:val="3370ff"/>
      </w:rPr>
    </w:lvl>
  </w:abstractNum>
  <w:abstractNum w:abstractNumId="356068">
    <w:lvl>
      <w:start w:val="3"/>
      <w:numFmt w:val="decimal"/>
      <w:suff w:val="tab"/>
      <w:lvlText w:val="%1."/>
      <w:rPr>
        <w:color w:val="3370ff"/>
      </w:rPr>
    </w:lvl>
  </w:abstractNum>
  <w:abstractNum w:abstractNumId="356069">
    <w:lvl>
      <w:start w:val="1"/>
      <w:numFmt w:val="decimal"/>
      <w:suff w:val="tab"/>
      <w:lvlText w:val="%1."/>
      <w:rPr>
        <w:color w:val="3370ff"/>
      </w:rPr>
    </w:lvl>
  </w:abstractNum>
  <w:abstractNum w:abstractNumId="356070">
    <w:lvl>
      <w:start w:val="2"/>
      <w:numFmt w:val="decimal"/>
      <w:suff w:val="tab"/>
      <w:lvlText w:val="%1."/>
      <w:rPr>
        <w:color w:val="3370ff"/>
      </w:rPr>
    </w:lvl>
  </w:abstractNum>
  <w:abstractNum w:abstractNumId="356071">
    <w:lvl>
      <w:start w:val="1"/>
      <w:numFmt w:val="decimal"/>
      <w:suff w:val="tab"/>
      <w:lvlText w:val="%1."/>
      <w:rPr>
        <w:color w:val="3370ff"/>
      </w:rPr>
    </w:lvl>
  </w:abstractNum>
  <w:abstractNum w:abstractNumId="356072">
    <w:lvl>
      <w:start w:val="2"/>
      <w:numFmt w:val="decimal"/>
      <w:suff w:val="tab"/>
      <w:lvlText w:val="%1."/>
      <w:rPr>
        <w:color w:val="3370ff"/>
      </w:rPr>
    </w:lvl>
  </w:abstractNum>
  <w:abstractNum w:abstractNumId="356073">
    <w:lvl>
      <w:start w:val="3"/>
      <w:numFmt w:val="decimal"/>
      <w:suff w:val="tab"/>
      <w:lvlText w:val="%1."/>
      <w:rPr>
        <w:color w:val="3370ff"/>
      </w:rPr>
    </w:lvl>
  </w:abstractNum>
  <w:abstractNum w:abstractNumId="356074">
    <w:lvl>
      <w:start w:val="1"/>
      <w:numFmt w:val="decimal"/>
      <w:suff w:val="tab"/>
      <w:lvlText w:val="%1."/>
      <w:rPr>
        <w:color w:val="3370ff"/>
      </w:rPr>
    </w:lvl>
  </w:abstractNum>
  <w:abstractNum w:abstractNumId="356075">
    <w:lvl>
      <w:start w:val="2"/>
      <w:numFmt w:val="decimal"/>
      <w:suff w:val="tab"/>
      <w:lvlText w:val="%1."/>
      <w:rPr>
        <w:color w:val="3370ff"/>
      </w:rPr>
    </w:lvl>
  </w:abstractNum>
  <w:abstractNum w:abstractNumId="356076">
    <w:lvl>
      <w:start w:val="3"/>
      <w:numFmt w:val="decimal"/>
      <w:suff w:val="tab"/>
      <w:lvlText w:val="%1."/>
      <w:rPr>
        <w:color w:val="3370ff"/>
      </w:rPr>
    </w:lvl>
  </w:abstractNum>
  <w:abstractNum w:abstractNumId="356077">
    <w:lvl>
      <w:start w:val="4"/>
      <w:numFmt w:val="decimal"/>
      <w:suff w:val="tab"/>
      <w:lvlText w:val="%1."/>
      <w:rPr>
        <w:color w:val="3370ff"/>
      </w:rPr>
    </w:lvl>
  </w:abstractNum>
  <w:abstractNum w:abstractNumId="356078">
    <w:lvl>
      <w:start w:val="1"/>
      <w:numFmt w:val="decimal"/>
      <w:suff w:val="tab"/>
      <w:lvlText w:val="%1."/>
      <w:rPr>
        <w:color w:val="3370ff"/>
      </w:rPr>
    </w:lvl>
  </w:abstractNum>
  <w:abstractNum w:abstractNumId="356079">
    <w:lvl>
      <w:start w:val="2"/>
      <w:numFmt w:val="decimal"/>
      <w:suff w:val="tab"/>
      <w:lvlText w:val="%1."/>
      <w:rPr>
        <w:color w:val="3370ff"/>
      </w:rPr>
    </w:lvl>
  </w:abstractNum>
  <w:abstractNum w:abstractNumId="356080">
    <w:lvl>
      <w:start w:val="3"/>
      <w:numFmt w:val="decimal"/>
      <w:suff w:val="tab"/>
      <w:lvlText w:val="%1."/>
      <w:rPr>
        <w:color w:val="3370ff"/>
      </w:rPr>
    </w:lvl>
  </w:abstractNum>
  <w:abstractNum w:abstractNumId="356081">
    <w:lvl>
      <w:start w:val="4"/>
      <w:numFmt w:val="decimal"/>
      <w:suff w:val="tab"/>
      <w:lvlText w:val="%1."/>
      <w:rPr>
        <w:color w:val="3370ff"/>
      </w:rPr>
    </w:lvl>
  </w:abstractNum>
  <w:abstractNum w:abstractNumId="356082">
    <w:lvl>
      <w:start w:val="5"/>
      <w:numFmt w:val="decimal"/>
      <w:suff w:val="tab"/>
      <w:lvlText w:val="%1."/>
      <w:rPr>
        <w:color w:val="3370ff"/>
      </w:rPr>
    </w:lvl>
  </w:abstractNum>
  <w:abstractNum w:abstractNumId="356083">
    <w:lvl>
      <w:start w:val="6"/>
      <w:numFmt w:val="decimal"/>
      <w:suff w:val="tab"/>
      <w:lvlText w:val="%1."/>
      <w:rPr>
        <w:color w:val="3370ff"/>
      </w:rPr>
    </w:lvl>
  </w:abstractNum>
  <w:num w:numId="1">
    <w:abstractNumId w:val="356047"/>
  </w:num>
  <w:num w:numId="2">
    <w:abstractNumId w:val="356048"/>
  </w:num>
  <w:num w:numId="3">
    <w:abstractNumId w:val="356049"/>
  </w:num>
  <w:num w:numId="4">
    <w:abstractNumId w:val="356050"/>
  </w:num>
  <w:num w:numId="5">
    <w:abstractNumId w:val="356051"/>
  </w:num>
  <w:num w:numId="6">
    <w:abstractNumId w:val="356052"/>
  </w:num>
  <w:num w:numId="7">
    <w:abstractNumId w:val="356053"/>
  </w:num>
  <w:num w:numId="8">
    <w:abstractNumId w:val="356054"/>
  </w:num>
  <w:num w:numId="9">
    <w:abstractNumId w:val="356055"/>
  </w:num>
  <w:num w:numId="10">
    <w:abstractNumId w:val="356056"/>
  </w:num>
  <w:num w:numId="11">
    <w:abstractNumId w:val="356057"/>
  </w:num>
  <w:num w:numId="12">
    <w:abstractNumId w:val="356058"/>
  </w:num>
  <w:num w:numId="13">
    <w:abstractNumId w:val="356059"/>
  </w:num>
  <w:num w:numId="14">
    <w:abstractNumId w:val="356060"/>
  </w:num>
  <w:num w:numId="15">
    <w:abstractNumId w:val="356061"/>
  </w:num>
  <w:num w:numId="16">
    <w:abstractNumId w:val="356062"/>
  </w:num>
  <w:num w:numId="17">
    <w:abstractNumId w:val="356063"/>
  </w:num>
  <w:num w:numId="18">
    <w:abstractNumId w:val="356064"/>
  </w:num>
  <w:num w:numId="19">
    <w:abstractNumId w:val="356065"/>
  </w:num>
  <w:num w:numId="20">
    <w:abstractNumId w:val="356066"/>
  </w:num>
  <w:num w:numId="21">
    <w:abstractNumId w:val="356067"/>
  </w:num>
  <w:num w:numId="22">
    <w:abstractNumId w:val="356068"/>
  </w:num>
  <w:num w:numId="23">
    <w:abstractNumId w:val="356069"/>
  </w:num>
  <w:num w:numId="24">
    <w:abstractNumId w:val="356070"/>
  </w:num>
  <w:num w:numId="25">
    <w:abstractNumId w:val="356071"/>
  </w:num>
  <w:num w:numId="26">
    <w:abstractNumId w:val="356072"/>
  </w:num>
  <w:num w:numId="27">
    <w:abstractNumId w:val="356073"/>
  </w:num>
  <w:num w:numId="28">
    <w:abstractNumId w:val="356074"/>
  </w:num>
  <w:num w:numId="29">
    <w:abstractNumId w:val="356075"/>
  </w:num>
  <w:num w:numId="30">
    <w:abstractNumId w:val="356076"/>
  </w:num>
  <w:num w:numId="31">
    <w:abstractNumId w:val="356077"/>
  </w:num>
  <w:num w:numId="32">
    <w:abstractNumId w:val="356078"/>
  </w:num>
  <w:num w:numId="33">
    <w:abstractNumId w:val="356079"/>
  </w:num>
  <w:num w:numId="34">
    <w:abstractNumId w:val="356080"/>
  </w:num>
  <w:num w:numId="35">
    <w:abstractNumId w:val="356081"/>
  </w:num>
  <w:num w:numId="36">
    <w:abstractNumId w:val="356082"/>
  </w:num>
  <w:num w:numId="37">
    <w:abstractNumId w:val="356083"/>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2026-03-28T05:47:01Z</dcterms:created>
  <dc:creator>Apache POI</dc:creator>
</cp:coreProperties>
</file>