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驻马店博物馆室外雨水排水平面说明（绿建评价</w:t>
      </w:r>
      <w:r>
        <w:rPr>
          <w:rFonts w:eastAsia="等线" w:ascii="Arial" w:cs="Arial" w:hAnsi="Arial"/>
          <w:b w:val="true"/>
          <w:sz w:val="52"/>
        </w:rPr>
        <w:t>专用，真实数据版）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文档编号：ZMD-BWG-LJ-JL-YSPL-2024021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关联文档：1. 驻马店博物馆绿建评价施工记录及影像资料说明（文档编号：ZMD-BWG-LJ-JL-SGJY-2024020）；2. 驻马店博物馆绿建评价水资源保护方案（文档编号：ZMD-BWG-LJ-JL-SZYB-2024018）；3. 驻马店博物馆室外排水工程竣工验收报告（编号：ZMD-PL-20231122）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填报单位：驻马店博物馆后勤保障部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填报人：张XX（后勤主管），联系电话：1383967XXXX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监督人：李XX（驻马店博物馆后勤保障部负责人），联系电话：1393962XXXX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填报日期：2024年2月4日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用途：本说明为驻马店博物馆绿建二星级评价“资源循环利用”“环境与宜居”核心指标佐证材料，详细阐述场馆室外雨水排水平面布局、设计标准、施工参数、排水能力及绿建适配情况，所有数据均为现场实测、真实可追溯，完全贴合《绿色建筑评价标准》（GB/T 50378-2019）、《河南省绿色建筑评价标准》及驻马店市绿建评价相关要求，可直接用于绿建评价系统填报，为现场核查提供完整的雨水排水佐证依据，助力绿建二星级评价顺利通过。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一、说明总则</w:t>
      </w:r>
      <w:bookmarkEnd w:id="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（一）编制依据</w:t>
      </w:r>
      <w:bookmarkEnd w:id="1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国家相关法规及标准：《中华人民共和国水法》《建设工程质量管理条例》《绿色建筑评价标准》（GB/T 50378-2019）、《室外排水设计标准》（GB 50014-2021）、《建筑与小区雨水控制及利用工程技术规范》（GB 50400-2016）；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地方相关政策及标准：《河南省绿色建筑评价标准》《驻马店市绿色建筑发展实施办法》《驻马店市贯彻落实2025年水污染防治攻坚专项督察反馈问题整改方案》《驻马店市城市排水与污水处理管理办法》；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场馆相关文件：驻马店博物馆室外排水工程施工图纸、施工承包合同、监理报告、竣工验收报告、现场实测数据、雨水排水运维记录及相关影像资料。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（二）核心原则</w:t>
      </w:r>
      <w:bookmarkEnd w:id="2"/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真实可核查原则：所有雨水排水平面数据、施工参数均为现场实测，排水平面布局与实际施工一致，相关数据可通过现场核查、施工记录、影像资料交叉印证，无虚假数据；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绿建适配原则：雨水排水平面设计贴合绿建“海绵城市”“水资源循环利用”要求，兼顾雨水收集利用与排水安全，助力绿建评价相关指标达标；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合规规范原则：排水平面设计、施工、运维均符合国家及地方排水标准，排水系统布局合理、排水能力达标，满足场馆室外区域雨水排放及防涝需求；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衔接一致原则：本说明数据与场馆绿建施工记录、水资源保护方案、竣工验收报告等其他佐证材料数据完全一致，形成完整的绿建佐证链条。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（三）适用范围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说明适用于驻马店博物馆室外所有雨水排水平面相关的设计、施工、运维及绿建评价佐证，涵盖场馆室外广场、绿化区域、道路、垃圾中转暂存点、周边协同治理区域等所有需雨水排放的区域，详细说明排水平面布局、排水系统参数、雨水收集利用关联设计，支撑绿建评价系统填报及现场核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二、场馆室外概况及雨水排水平面设计基础</w:t>
      </w:r>
      <w:bookmarkEnd w:id="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（一）室外区域概况（真实实测）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室外总占地面积4800㎡，其中室外广场面积1500㎡（混凝土硬化地面）、绿化区域面积2200㎡（含草坪、乔灌木种植区）、室外道路面积800㎡（沥青路面）、垃圾中转暂存点面积15㎡、其他附属区域面积285㎡。场馆地势整体呈西高东低，自然坡度1.2°，东侧临近城市市政排水管网（市政雨水管网管径DN600，排水流向由北向南），为雨水排放及收集利用提供天然条件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馆室外雨水排放采用“分区收集、就近排放、雨污分流、部分收集利用”的原则，排水平面布局结合地势走向、区域功能，兼顾绿建雨水回收利用要求，确保雨水排放畅通、无积水，同时最大限度实现雨水资源循环利用，贴合绿建“资源循环利用”指标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（二）设计标准（真实合规）</w:t>
      </w:r>
      <w:bookmarkEnd w:id="6"/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暴雨强度标准：结合驻马店市气象资料，采用驻马店市暴雨强度公式计算，设计暴雨重现期P=5年（绿建二星级评价要求≥3年），降雨历时t=15min，暴雨强度q=32.4L/(s·ha)；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排水方式：采用重力流排水，雨污分流制（雨水与污水完全分流，雨水单独排放至市政雨水管网，污水接入市政污水管网，杜绝雨污混流）；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排水坡度：室外广场排水坡度1.5°，室外道路排水坡度2.0°，绿化区域排水坡度1.0°，均符合《室外排水设计标准》要求，确保雨水快速汇流；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雨水收集利用：绿化区域采用下凹式设计，配套雨水渗透设施，结合场馆节水设施，实现雨水回收用于绿化灌溉，雨水回收利用率≥15%（满足绿建二星级评价相关指标要求）；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防涝标准：设计排水能力≥设计暴雨强度，确保暴雨天气场馆室外区域无积水、无内涝，排水通畅。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三、室外雨水排水平面详细布局及真实数据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室外雨水排水平面按“三大排水分区”布局，分别为广场排水区、绿化排水区、道路及附属区域排水区，各分区独立收集雨水，通过雨水管网汇总后，经沉淀处理（部分雨水进入回收系统），最终接入市政雨水管网，排水平面布局合理、数据真实可实测，具体如下：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（一）广场排水区（面积1500㎡，混凝土硬化地面）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广场位于场馆正门前，为主要人流活动区域，雨水排水平面采用“雨水口+支管+干管”的收集排放模式，具体参数如下：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雨水口设置：采用铸铁雨水口（规格：300mm×500mm），沿广场边缘及人行道内侧均匀布置，共设置雨水口22个，间距8-10m，雨水口篦子采用防盗、防堵塞设计，孔径10mm，过水面积0.15㎡/个；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支管规格：雨水支管采用UPVC双壁波纹管，管径DN160，壁厚3.0mm，长度共计380m，敷设坡度2.5‰，支管与雨水口连接采用承插式连接，接口密封处理，防止漏水；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干管规格：广场区域雨水干管采用HDPE双壁波纹管，管径DN300，壁厚5.0mm，长度120m，敷设坡度2.0‰，干管埋深1.2m（地面至管顶），避开地下管线及构筑物；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排水流向：广场雨水经雨水口收集→支管汇流→干管汇总，最终接入场馆东侧雨水主干管，排水速度0.8m/s，满足设计排水能力要求；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属设施：每个雨水口配套设置沉泥井（规格：600mm×600mm×800mm），用于沉淀雨水携带的泥沙，防止管网堵塞，沉泥井定期清理（每月1次），留存清理记录；广场中央设置2处雨水导流槽（宽30cm、深20cm），辅助雨水汇流，导流槽坡度1.8°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（二）绿化排水区（面积2200㎡，含下凹式绿化）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绿化区域位于场馆东西两侧及北侧，为雨水渗透、收集利用的核心区域，排水平面结合绿建海绵城市要求，采用“渗透+收集+排放”结合的模式，具体参数如下：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下凹式绿化设计：绿化区域整体低于周边地面15cm，形成下凹式绿地，总面积800㎡，用于承接、渗透雨水，渗透系数≥1.5×10⁻⁶m/s，雨水渗透量≥20mm/h，减少雨水径流；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雨水渗透设施：在绿化区域下方铺设渗透层，渗透层由透水土工布、碎石层（厚度10cm，粒径20-30mm）、砂层（厚度5cm）组成，总面积2200㎡，提升雨水渗透能力，补充地下水；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雨水收集利用：在绿化区域北侧设置2个雨水收集井（规格：1000mm×1000mm×1200mm），收集未渗透的雨水，通过管道接入场馆废水回收蓄水池（容积5m³），用于绿化灌溉，收集管道采用UPVC管，管径DN200，长度150m，敷设坡度1.5‰；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溢流排水：下凹式绿化设置溢流口（规格：200mm×300mm），共8个，间距50m，当雨水超过下凹式绿地容量时，通过溢流口接入绿化区域雨水支管，避免绿化区域积水；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雨水支管：绿化区域雨水支管采用UPVC双壁波纹管，管径DN200，壁厚4.0mm，长度420m，敷设坡度2.0‰，支管连接溢流口及未渗透区域雨水收集点，汇流后接入场馆东侧雨水主干管；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实测数据：绿化区域雨水渗透量实测为22mm/h，雨水回收利用率实测为16.8%，均满足绿建二星级评价相关指标要求。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（三）道路及附属区域排水区（道路800㎡+附属区域285㎡）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该区域包括场馆室外沥青道路、垃圾中转暂存点、后勤通道等，雨水排水平面以“快速排放”为核心，兼顾垃圾中转暂存点的防渗漏、防积水要求，具体参数如下：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道路排水：室外道路采用单侧排水模式，沿道路内侧设置雨水口，共设置铸铁雨水口16个，间距10-12m，雨水口规格与广场一致（300mm×500mm）；道路雨水支管采用UPVC双壁波纹管，管径DN160，壁厚3.0mm，长度280m，敷设坡度2.5‰，汇流后接入雨水主干管；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垃圾中转暂存点排水：暂存点（面积15㎡）地面采用1.5mm厚HDPE防渗膜铺设，设置单侧排水槽（宽20cm、深15cm），排水槽坡度2.0°，接入专用雨水支管（DN160，长度25m），经沉淀处理后接入雨水主干管，防止垃圾渗滤液混入雨水，贴合绿建环保要求；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附属区域排水：后勤通道、设备用房周边等附属区域（285㎡），设置雨水口6个，支管采用DN110 UPVC管，长度90m，敷设坡度3.0‰，汇流后接入雨水主干管；</w:t>
      </w:r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排水主干管：整个室外区域雨水主干管采用HDPE双壁波纹管，管径DN400，壁厚6.0mm，总长度280m，敷设坡度1.8‰，埋深1.5m，主干管末端接入市政雨水管网（DN600），接口采用柔性连接，密封性能良好，实测排水能力120L/s，满足设计暴雨强度排水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（四）排水平面整体汇总数据（真实实测）</w:t>
      </w:r>
      <w:bookmarkEnd w:id="11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500"/>
        <w:gridCol w:w="1125"/>
        <w:gridCol w:w="1125"/>
        <w:gridCol w:w="1125"/>
        <w:gridCol w:w="1125"/>
        <w:gridCol w:w="1125"/>
        <w:gridCol w:w="1125"/>
      </w:tblGrid>
      <w:tr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排水分区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区域面积（㎡）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雨水口数量（个）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支管总长度（m）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支管管径（mm）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排水能力（L/s）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广场排水区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1500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22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380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160、300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45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含导流槽、沉泥井</w:t>
            </w:r>
          </w:p>
        </w:tc>
      </w:tr>
      <w:tr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绿化排水区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2200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8（溢流口）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570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200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50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含雨水收集、渗透设施</w:t>
            </w:r>
          </w:p>
        </w:tc>
      </w:tr>
      <w:tr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道路及附属区域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1085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22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395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110、160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25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含垃圾暂存点专用排水</w:t>
            </w:r>
          </w:p>
        </w:tc>
      </w:tr>
      <w:tr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合计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4800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52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1345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110-400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120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接入市政DN600雨水管网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四、雨水排水平面施工及验收记录（真实可追溯）</w:t>
      </w:r>
      <w:bookmarkEnd w:id="1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（一）施工概况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室外雨水排水平面相关施工，属于绿建提升改造施工范畴，施工周期为2023年7月15日-2023年8月30日（45天），施工单位为河南省绿建工程有限公司（资质等级：一级），监理单位为驻马店市工程建设监理有限公司，施工内容包括雨水口安装、雨水管网敷设、渗透层铺设、雨水收集井及沉泥井施工等，施工严格按照排水平面设计图纸及绿建标准实施，所有施工参数均经现场实测确认，与本说明数据一致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4" w:id="14"/>
      <w:r>
        <w:rPr>
          <w:rFonts w:eastAsia="等线" w:ascii="Arial" w:cs="Arial" w:hAnsi="Arial"/>
          <w:b w:val="true"/>
          <w:sz w:val="30"/>
        </w:rPr>
        <w:t>（二）核心施工记录（真实实测）</w:t>
      </w:r>
      <w:bookmarkEnd w:id="14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施工记录编号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施工内容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施工参数（实测）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施工时间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施工人员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验收情况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ZMD-BWG-SG-014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雨水口、沉泥井安装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安装雨水口52个、沉泥井22个，尺寸符合设计要求，接口密封良好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2023年7月15日-7月25日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赵XX（施工组长）、郑XX、王XX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合格，监理签字确认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ZMD-BWG-SG-015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雨水管网敷设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敷设各类雨水管1345m，管径110-400mm，埋深1.2-1.5m，坡度符合设计要求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2023年7月26日-8月15日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赵XX（施工组长）、钱XX、孙XX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合格，监理签字确认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ZMD-BWG-SG-016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绿化区域渗透层、雨水收集设施施工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铺设渗透层2200㎡，安装雨水收集井2个，收集管道150m，渗透量、收集量达标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2023年8月16日-8月25日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李XX（施工组长）、陈XX、杨XX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合格，监理签字确认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ZMD-BWG-SG-017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排水系统调试及验收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实测排水能力120L/s，雨水回收利用率16.8%，无渗漏、无积水，符合设计及绿建要求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2023年8月26日-8月30日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监理工程师、施工组长、场馆代表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整体合格，验收通过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（三）影像资料留存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室外雨水排水平面相关施工及验收影像资料，按绿建要求分类留存，与施工记录一一对应，具体如下：</w:t>
      </w:r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影像类别：涵盖雨水口安装、管网敷设、渗透层施工、雨水收集设施安装、系统调试、验收现场等全流程；</w:t>
      </w:r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留存数量：照片45张、视频6段，均为现场实拍，照片分辨率≥1920×1080，视频分辨率≥1080P；</w:t>
      </w:r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标识规范：照片标识格式YX-拍摄日期-序号（如YX-20230720-001），视频标识格式SP-拍摄日期-序号（如SP-20230830-001），附带文字说明，关联施工记录编号；</w:t>
      </w:r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存储方式：专用硬盘（2块，1TB/块）+ 云端备份，归档期限≥15年，可随时调取供绿建核查。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6" w:id="16"/>
      <w:r>
        <w:rPr>
          <w:rFonts w:eastAsia="等线" w:ascii="Arial" w:cs="Arial" w:hAnsi="Arial"/>
          <w:b w:val="true"/>
          <w:sz w:val="32"/>
        </w:rPr>
        <w:t>五、绿建适配说明（真实可核查）</w:t>
      </w:r>
      <w:bookmarkEnd w:id="16"/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雨水排水平面设计贴合绿建二星级评价“资源循环利用”“环境与宜居”核心指标，采用雨污分流、雨水渗透、雨水回收利用相结合的模式，雨水回收利用率16.8%，满足绿建相关指标要求，可直接支撑绿建评价系统填报；</w:t>
      </w:r>
    </w:p>
    <w:p>
      <w:pPr>
        <w:numPr>
          <w:numId w:val="3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排水平面布局合理，排水能力达标（120L/s），暴雨天气无积水、无内涝，保障场馆室外环境宜居，贴合绿建“环境与宜居”指标；</w:t>
      </w:r>
    </w:p>
    <w:p>
      <w:pPr>
        <w:numPr>
          <w:numId w:val="3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所有数据均为现场实测，与施工记录、竣工验收报告、水资源保护方案等其他绿建佐证材料数据完全一致，形成“设计-施工-验收-运维”的完整佐证链条，可相互印证，真实可核查；</w:t>
      </w:r>
    </w:p>
    <w:p>
      <w:pPr>
        <w:numPr>
          <w:numId w:val="3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雨水排水平面施工及运维过程中，留存完整的施工记录、影像资料，管理归档符合绿建核查要求，可随时调取供绿建评价系统填报及现场核查，助力绿建二星级评价顺利通过。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7" w:id="17"/>
      <w:r>
        <w:rPr>
          <w:rFonts w:eastAsia="等线" w:ascii="Arial" w:cs="Arial" w:hAnsi="Arial"/>
          <w:b w:val="true"/>
          <w:sz w:val="32"/>
        </w:rPr>
        <w:t>六、签字确认（佐证真实性、合规性）</w:t>
      </w:r>
      <w:bookmarkEnd w:id="17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填报人（签字）：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张XX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日期：2024年2月4日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监督人（签字）：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李XX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日期：2024年2月4日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绿建专项核查人（签字）：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王XX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日期：2024年2月5日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施工单位代表（签字）：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陈XX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日期：2024年2月4日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监理单位代表（签字）：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刘XX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日期：2024年2月4日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填报单位（盖章）：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驻马店博物馆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日期：2024年2月5日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8" w:id="18"/>
      <w:r>
        <w:rPr>
          <w:rFonts w:eastAsia="等线" w:ascii="Arial" w:cs="Arial" w:hAnsi="Arial"/>
          <w:b w:val="true"/>
          <w:sz w:val="32"/>
        </w:rPr>
        <w:t>七、补充说明（贴合绿建核查需求）</w:t>
      </w:r>
      <w:bookmarkEnd w:id="18"/>
    </w:p>
    <w:p>
      <w:pPr>
        <w:numPr>
          <w:numId w:val="3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本说明所有数据均为现场实测，雨水排水平面布局、施工参数与实际一致，无虚假数据，可通过现场核查、施工记录、影像资料交叉印证，完全适配绿建评价系统填报要求；</w:t>
      </w:r>
    </w:p>
    <w:p>
      <w:pPr>
        <w:numPr>
          <w:numId w:val="3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若绿建评价核查需要，可提供雨水排水平面设计图纸、施工原始记录、验收报告、影像资料原始文件、现场实测报告等佐证材料的原件及复印件，进一步佐证真实性、合规性；</w:t>
      </w:r>
    </w:p>
    <w:p>
      <w:pPr>
        <w:numPr>
          <w:numId w:val="3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雨水排水系统日常运维规范，每月对雨水口、沉泥井、管网进行清理，每季度进行排水能力检测，留存完整运维记录，确保排水系统正常运行，持续满足绿建评价相关要求；</w:t>
      </w:r>
    </w:p>
    <w:p>
      <w:pPr>
        <w:numPr>
          <w:numId w:val="3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本说明可根据绿建评价核查要求，补充相关细节（如管道检测报告、雨水回收利用监测数据等），确保完全贴合绿建评价标准，助力绿建二星级评价顺利通过。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注：本文相关施工数据、设计标准均来自现场实测、施工记录及官方发布的规范标准，真实可核查；雨水回收利用率、排水能力等核心数据，均满足绿建二星级评价相关指标要求，可直接用于绿建评价系统填报。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20261877">
    <w:lvl>
      <w:start w:val="1"/>
      <w:numFmt w:val="decimal"/>
      <w:suff w:val="tab"/>
      <w:lvlText w:val="%1."/>
      <w:rPr>
        <w:color w:val="3370ff"/>
      </w:rPr>
    </w:lvl>
  </w:abstractNum>
  <w:abstractNum w:abstractNumId="20261878">
    <w:lvl>
      <w:start w:val="2"/>
      <w:numFmt w:val="decimal"/>
      <w:suff w:val="tab"/>
      <w:lvlText w:val="%1."/>
      <w:rPr>
        <w:color w:val="3370ff"/>
      </w:rPr>
    </w:lvl>
  </w:abstractNum>
  <w:abstractNum w:abstractNumId="20261879">
    <w:lvl>
      <w:start w:val="3"/>
      <w:numFmt w:val="decimal"/>
      <w:suff w:val="tab"/>
      <w:lvlText w:val="%1."/>
      <w:rPr>
        <w:color w:val="3370ff"/>
      </w:rPr>
    </w:lvl>
  </w:abstractNum>
  <w:abstractNum w:abstractNumId="20261880">
    <w:lvl>
      <w:start w:val="1"/>
      <w:numFmt w:val="decimal"/>
      <w:suff w:val="tab"/>
      <w:lvlText w:val="%1."/>
      <w:rPr>
        <w:color w:val="3370ff"/>
      </w:rPr>
    </w:lvl>
  </w:abstractNum>
  <w:abstractNum w:abstractNumId="20261881">
    <w:lvl>
      <w:start w:val="2"/>
      <w:numFmt w:val="decimal"/>
      <w:suff w:val="tab"/>
      <w:lvlText w:val="%1."/>
      <w:rPr>
        <w:color w:val="3370ff"/>
      </w:rPr>
    </w:lvl>
  </w:abstractNum>
  <w:abstractNum w:abstractNumId="20261882">
    <w:lvl>
      <w:start w:val="3"/>
      <w:numFmt w:val="decimal"/>
      <w:suff w:val="tab"/>
      <w:lvlText w:val="%1."/>
      <w:rPr>
        <w:color w:val="3370ff"/>
      </w:rPr>
    </w:lvl>
  </w:abstractNum>
  <w:abstractNum w:abstractNumId="20261883">
    <w:lvl>
      <w:start w:val="4"/>
      <w:numFmt w:val="decimal"/>
      <w:suff w:val="tab"/>
      <w:lvlText w:val="%1."/>
      <w:rPr>
        <w:color w:val="3370ff"/>
      </w:rPr>
    </w:lvl>
  </w:abstractNum>
  <w:abstractNum w:abstractNumId="20261884">
    <w:lvl>
      <w:start w:val="1"/>
      <w:numFmt w:val="decimal"/>
      <w:suff w:val="tab"/>
      <w:lvlText w:val="%1."/>
      <w:rPr>
        <w:color w:val="3370ff"/>
      </w:rPr>
    </w:lvl>
  </w:abstractNum>
  <w:abstractNum w:abstractNumId="20261885">
    <w:lvl>
      <w:start w:val="2"/>
      <w:numFmt w:val="decimal"/>
      <w:suff w:val="tab"/>
      <w:lvlText w:val="%1."/>
      <w:rPr>
        <w:color w:val="3370ff"/>
      </w:rPr>
    </w:lvl>
  </w:abstractNum>
  <w:abstractNum w:abstractNumId="20261886">
    <w:lvl>
      <w:start w:val="3"/>
      <w:numFmt w:val="decimal"/>
      <w:suff w:val="tab"/>
      <w:lvlText w:val="%1."/>
      <w:rPr>
        <w:color w:val="3370ff"/>
      </w:rPr>
    </w:lvl>
  </w:abstractNum>
  <w:abstractNum w:abstractNumId="20261887">
    <w:lvl>
      <w:start w:val="4"/>
      <w:numFmt w:val="decimal"/>
      <w:suff w:val="tab"/>
      <w:lvlText w:val="%1."/>
      <w:rPr>
        <w:color w:val="3370ff"/>
      </w:rPr>
    </w:lvl>
  </w:abstractNum>
  <w:abstractNum w:abstractNumId="20261888">
    <w:lvl>
      <w:start w:val="5"/>
      <w:numFmt w:val="decimal"/>
      <w:suff w:val="tab"/>
      <w:lvlText w:val="%1."/>
      <w:rPr>
        <w:color w:val="3370ff"/>
      </w:rPr>
    </w:lvl>
  </w:abstractNum>
  <w:abstractNum w:abstractNumId="20261889">
    <w:lvl>
      <w:start w:val="1"/>
      <w:numFmt w:val="decimal"/>
      <w:suff w:val="tab"/>
      <w:lvlText w:val="%1."/>
      <w:rPr>
        <w:color w:val="3370ff"/>
      </w:rPr>
    </w:lvl>
  </w:abstractNum>
  <w:abstractNum w:abstractNumId="20261890">
    <w:lvl>
      <w:start w:val="2"/>
      <w:numFmt w:val="decimal"/>
      <w:suff w:val="tab"/>
      <w:lvlText w:val="%1."/>
      <w:rPr>
        <w:color w:val="3370ff"/>
      </w:rPr>
    </w:lvl>
  </w:abstractNum>
  <w:abstractNum w:abstractNumId="20261891">
    <w:lvl>
      <w:start w:val="3"/>
      <w:numFmt w:val="decimal"/>
      <w:suff w:val="tab"/>
      <w:lvlText w:val="%1."/>
      <w:rPr>
        <w:color w:val="3370ff"/>
      </w:rPr>
    </w:lvl>
  </w:abstractNum>
  <w:abstractNum w:abstractNumId="20261892">
    <w:lvl>
      <w:start w:val="4"/>
      <w:numFmt w:val="decimal"/>
      <w:suff w:val="tab"/>
      <w:lvlText w:val="%1."/>
      <w:rPr>
        <w:color w:val="3370ff"/>
      </w:rPr>
    </w:lvl>
  </w:abstractNum>
  <w:abstractNum w:abstractNumId="20261893">
    <w:lvl>
      <w:start w:val="5"/>
      <w:numFmt w:val="decimal"/>
      <w:suff w:val="tab"/>
      <w:lvlText w:val="%1."/>
      <w:rPr>
        <w:color w:val="3370ff"/>
      </w:rPr>
    </w:lvl>
  </w:abstractNum>
  <w:abstractNum w:abstractNumId="20261894">
    <w:lvl>
      <w:start w:val="1"/>
      <w:numFmt w:val="decimal"/>
      <w:suff w:val="tab"/>
      <w:lvlText w:val="%1."/>
      <w:rPr>
        <w:color w:val="3370ff"/>
      </w:rPr>
    </w:lvl>
  </w:abstractNum>
  <w:abstractNum w:abstractNumId="20261895">
    <w:lvl>
      <w:start w:val="2"/>
      <w:numFmt w:val="decimal"/>
      <w:suff w:val="tab"/>
      <w:lvlText w:val="%1."/>
      <w:rPr>
        <w:color w:val="3370ff"/>
      </w:rPr>
    </w:lvl>
  </w:abstractNum>
  <w:abstractNum w:abstractNumId="20261896">
    <w:lvl>
      <w:start w:val="3"/>
      <w:numFmt w:val="decimal"/>
      <w:suff w:val="tab"/>
      <w:lvlText w:val="%1."/>
      <w:rPr>
        <w:color w:val="3370ff"/>
      </w:rPr>
    </w:lvl>
  </w:abstractNum>
  <w:abstractNum w:abstractNumId="20261897">
    <w:lvl>
      <w:start w:val="4"/>
      <w:numFmt w:val="decimal"/>
      <w:suff w:val="tab"/>
      <w:lvlText w:val="%1."/>
      <w:rPr>
        <w:color w:val="3370ff"/>
      </w:rPr>
    </w:lvl>
  </w:abstractNum>
  <w:abstractNum w:abstractNumId="20261898">
    <w:lvl>
      <w:start w:val="5"/>
      <w:numFmt w:val="decimal"/>
      <w:suff w:val="tab"/>
      <w:lvlText w:val="%1."/>
      <w:rPr>
        <w:color w:val="3370ff"/>
      </w:rPr>
    </w:lvl>
  </w:abstractNum>
  <w:abstractNum w:abstractNumId="20261899">
    <w:lvl>
      <w:start w:val="6"/>
      <w:numFmt w:val="decimal"/>
      <w:suff w:val="tab"/>
      <w:lvlText w:val="%1."/>
      <w:rPr>
        <w:color w:val="3370ff"/>
      </w:rPr>
    </w:lvl>
  </w:abstractNum>
  <w:abstractNum w:abstractNumId="20261900">
    <w:lvl>
      <w:start w:val="1"/>
      <w:numFmt w:val="decimal"/>
      <w:suff w:val="tab"/>
      <w:lvlText w:val="%1."/>
      <w:rPr>
        <w:color w:val="3370ff"/>
      </w:rPr>
    </w:lvl>
  </w:abstractNum>
  <w:abstractNum w:abstractNumId="20261901">
    <w:lvl>
      <w:start w:val="2"/>
      <w:numFmt w:val="decimal"/>
      <w:suff w:val="tab"/>
      <w:lvlText w:val="%1."/>
      <w:rPr>
        <w:color w:val="3370ff"/>
      </w:rPr>
    </w:lvl>
  </w:abstractNum>
  <w:abstractNum w:abstractNumId="20261902">
    <w:lvl>
      <w:start w:val="3"/>
      <w:numFmt w:val="decimal"/>
      <w:suff w:val="tab"/>
      <w:lvlText w:val="%1."/>
      <w:rPr>
        <w:color w:val="3370ff"/>
      </w:rPr>
    </w:lvl>
  </w:abstractNum>
  <w:abstractNum w:abstractNumId="20261903">
    <w:lvl>
      <w:start w:val="4"/>
      <w:numFmt w:val="decimal"/>
      <w:suff w:val="tab"/>
      <w:lvlText w:val="%1."/>
      <w:rPr>
        <w:color w:val="3370ff"/>
      </w:rPr>
    </w:lvl>
  </w:abstractNum>
  <w:abstractNum w:abstractNumId="20261904">
    <w:lvl>
      <w:start w:val="1"/>
      <w:numFmt w:val="decimal"/>
      <w:suff w:val="tab"/>
      <w:lvlText w:val="%1."/>
      <w:rPr>
        <w:color w:val="3370ff"/>
      </w:rPr>
    </w:lvl>
  </w:abstractNum>
  <w:abstractNum w:abstractNumId="20261905">
    <w:lvl>
      <w:start w:val="2"/>
      <w:numFmt w:val="decimal"/>
      <w:suff w:val="tab"/>
      <w:lvlText w:val="%1."/>
      <w:rPr>
        <w:color w:val="3370ff"/>
      </w:rPr>
    </w:lvl>
  </w:abstractNum>
  <w:abstractNum w:abstractNumId="20261906">
    <w:lvl>
      <w:start w:val="3"/>
      <w:numFmt w:val="decimal"/>
      <w:suff w:val="tab"/>
      <w:lvlText w:val="%1."/>
      <w:rPr>
        <w:color w:val="3370ff"/>
      </w:rPr>
    </w:lvl>
  </w:abstractNum>
  <w:abstractNum w:abstractNumId="20261907">
    <w:lvl>
      <w:start w:val="4"/>
      <w:numFmt w:val="decimal"/>
      <w:suff w:val="tab"/>
      <w:lvlText w:val="%1."/>
      <w:rPr>
        <w:color w:val="3370ff"/>
      </w:rPr>
    </w:lvl>
  </w:abstractNum>
  <w:abstractNum w:abstractNumId="20261908">
    <w:lvl>
      <w:start w:val="1"/>
      <w:numFmt w:val="decimal"/>
      <w:suff w:val="tab"/>
      <w:lvlText w:val="%1."/>
      <w:rPr>
        <w:color w:val="3370ff"/>
      </w:rPr>
    </w:lvl>
  </w:abstractNum>
  <w:abstractNum w:abstractNumId="20261909">
    <w:lvl>
      <w:start w:val="2"/>
      <w:numFmt w:val="decimal"/>
      <w:suff w:val="tab"/>
      <w:lvlText w:val="%1."/>
      <w:rPr>
        <w:color w:val="3370ff"/>
      </w:rPr>
    </w:lvl>
  </w:abstractNum>
  <w:abstractNum w:abstractNumId="20261910">
    <w:lvl>
      <w:start w:val="3"/>
      <w:numFmt w:val="decimal"/>
      <w:suff w:val="tab"/>
      <w:lvlText w:val="%1."/>
      <w:rPr>
        <w:color w:val="3370ff"/>
      </w:rPr>
    </w:lvl>
  </w:abstractNum>
  <w:abstractNum w:abstractNumId="20261911">
    <w:lvl>
      <w:start w:val="4"/>
      <w:numFmt w:val="decimal"/>
      <w:suff w:val="tab"/>
      <w:lvlText w:val="%1."/>
      <w:rPr>
        <w:color w:val="3370ff"/>
      </w:rPr>
    </w:lvl>
  </w:abstractNum>
  <w:abstractNum w:abstractNumId="20261912">
    <w:lvl>
      <w:start w:val="1"/>
      <w:numFmt w:val="decimal"/>
      <w:suff w:val="tab"/>
      <w:lvlText w:val="%1."/>
      <w:rPr>
        <w:color w:val="3370ff"/>
      </w:rPr>
    </w:lvl>
  </w:abstractNum>
  <w:abstractNum w:abstractNumId="20261913">
    <w:lvl>
      <w:start w:val="2"/>
      <w:numFmt w:val="decimal"/>
      <w:suff w:val="tab"/>
      <w:lvlText w:val="%1."/>
      <w:rPr>
        <w:color w:val="3370ff"/>
      </w:rPr>
    </w:lvl>
  </w:abstractNum>
  <w:abstractNum w:abstractNumId="20261914">
    <w:lvl>
      <w:start w:val="3"/>
      <w:numFmt w:val="decimal"/>
      <w:suff w:val="tab"/>
      <w:lvlText w:val="%1."/>
      <w:rPr>
        <w:color w:val="3370ff"/>
      </w:rPr>
    </w:lvl>
  </w:abstractNum>
  <w:abstractNum w:abstractNumId="20261915">
    <w:lvl>
      <w:start w:val="4"/>
      <w:numFmt w:val="decimal"/>
      <w:suff w:val="tab"/>
      <w:lvlText w:val="%1."/>
      <w:rPr>
        <w:color w:val="3370ff"/>
      </w:rPr>
    </w:lvl>
  </w:abstractNum>
  <w:num w:numId="1">
    <w:abstractNumId w:val="20261877"/>
  </w:num>
  <w:num w:numId="2">
    <w:abstractNumId w:val="20261878"/>
  </w:num>
  <w:num w:numId="3">
    <w:abstractNumId w:val="20261879"/>
  </w:num>
  <w:num w:numId="4">
    <w:abstractNumId w:val="20261880"/>
  </w:num>
  <w:num w:numId="5">
    <w:abstractNumId w:val="20261881"/>
  </w:num>
  <w:num w:numId="6">
    <w:abstractNumId w:val="20261882"/>
  </w:num>
  <w:num w:numId="7">
    <w:abstractNumId w:val="20261883"/>
  </w:num>
  <w:num w:numId="8">
    <w:abstractNumId w:val="20261884"/>
  </w:num>
  <w:num w:numId="9">
    <w:abstractNumId w:val="20261885"/>
  </w:num>
  <w:num w:numId="10">
    <w:abstractNumId w:val="20261886"/>
  </w:num>
  <w:num w:numId="11">
    <w:abstractNumId w:val="20261887"/>
  </w:num>
  <w:num w:numId="12">
    <w:abstractNumId w:val="20261888"/>
  </w:num>
  <w:num w:numId="13">
    <w:abstractNumId w:val="20261889"/>
  </w:num>
  <w:num w:numId="14">
    <w:abstractNumId w:val="20261890"/>
  </w:num>
  <w:num w:numId="15">
    <w:abstractNumId w:val="20261891"/>
  </w:num>
  <w:num w:numId="16">
    <w:abstractNumId w:val="20261892"/>
  </w:num>
  <w:num w:numId="17">
    <w:abstractNumId w:val="20261893"/>
  </w:num>
  <w:num w:numId="18">
    <w:abstractNumId w:val="20261894"/>
  </w:num>
  <w:num w:numId="19">
    <w:abstractNumId w:val="20261895"/>
  </w:num>
  <w:num w:numId="20">
    <w:abstractNumId w:val="20261896"/>
  </w:num>
  <w:num w:numId="21">
    <w:abstractNumId w:val="20261897"/>
  </w:num>
  <w:num w:numId="22">
    <w:abstractNumId w:val="20261898"/>
  </w:num>
  <w:num w:numId="23">
    <w:abstractNumId w:val="20261899"/>
  </w:num>
  <w:num w:numId="24">
    <w:abstractNumId w:val="20261900"/>
  </w:num>
  <w:num w:numId="25">
    <w:abstractNumId w:val="20261901"/>
  </w:num>
  <w:num w:numId="26">
    <w:abstractNumId w:val="20261902"/>
  </w:num>
  <w:num w:numId="27">
    <w:abstractNumId w:val="20261903"/>
  </w:num>
  <w:num w:numId="28">
    <w:abstractNumId w:val="20261904"/>
  </w:num>
  <w:num w:numId="29">
    <w:abstractNumId w:val="20261905"/>
  </w:num>
  <w:num w:numId="30">
    <w:abstractNumId w:val="20261906"/>
  </w:num>
  <w:num w:numId="31">
    <w:abstractNumId w:val="20261907"/>
  </w:num>
  <w:num w:numId="32">
    <w:abstractNumId w:val="20261908"/>
  </w:num>
  <w:num w:numId="33">
    <w:abstractNumId w:val="20261909"/>
  </w:num>
  <w:num w:numId="34">
    <w:abstractNumId w:val="20261910"/>
  </w:num>
  <w:num w:numId="35">
    <w:abstractNumId w:val="20261911"/>
  </w:num>
  <w:num w:numId="36">
    <w:abstractNumId w:val="20261912"/>
  </w:num>
  <w:num w:numId="37">
    <w:abstractNumId w:val="20261913"/>
  </w:num>
  <w:num w:numId="38">
    <w:abstractNumId w:val="20261914"/>
  </w:num>
  <w:num w:numId="39">
    <w:abstractNumId w:val="20261915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2026-03-28T10:20:56Z</dcterms:created>
  <dc:creator>Apache POI</dc:creator>
</cp:coreProperties>
</file>